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7F8D" w14:textId="29A5FAEF" w:rsidR="00985B95" w:rsidRPr="00B93B15" w:rsidRDefault="00A14568" w:rsidP="002F14B9">
      <w:pPr>
        <w:rPr>
          <w:b/>
          <w:bCs/>
          <w:sz w:val="32"/>
          <w:szCs w:val="32"/>
        </w:rPr>
      </w:pPr>
      <w:r>
        <w:rPr>
          <w:b/>
          <w:bCs/>
          <w:noProof/>
          <w:sz w:val="32"/>
          <w:szCs w:val="32"/>
        </w:rPr>
        <w:drawing>
          <wp:anchor distT="0" distB="0" distL="114300" distR="114300" simplePos="0" relativeHeight="251660288" behindDoc="1" locked="0" layoutInCell="1" allowOverlap="1" wp14:anchorId="3DBB0ECD" wp14:editId="2ADA89CD">
            <wp:simplePos x="0" y="0"/>
            <wp:positionH relativeFrom="margin">
              <wp:posOffset>1858010</wp:posOffset>
            </wp:positionH>
            <wp:positionV relativeFrom="paragraph">
              <wp:posOffset>166370</wp:posOffset>
            </wp:positionV>
            <wp:extent cx="1003935" cy="441325"/>
            <wp:effectExtent l="0" t="0" r="5715" b="0"/>
            <wp:wrapTight wrapText="bothSides">
              <wp:wrapPolygon edited="0">
                <wp:start x="0" y="0"/>
                <wp:lineTo x="0" y="14918"/>
                <wp:lineTo x="16395" y="14918"/>
                <wp:lineTo x="16395" y="20512"/>
                <wp:lineTo x="18444" y="20512"/>
                <wp:lineTo x="21313" y="19580"/>
                <wp:lineTo x="21313" y="8391"/>
                <wp:lineTo x="16395" y="0"/>
                <wp:lineTo x="0" y="0"/>
              </wp:wrapPolygon>
            </wp:wrapTight>
            <wp:docPr id="390235644" name="Slika 1" descr="Slika na kojoj se prikazuje Font, grafika, grafički dizajn,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35644" name="Slika 1" descr="Slika na kojoj se prikazuje Font, grafika, grafički dizajn, logotip&#10;&#10;Sadržaj generiran uz AI možda nije toč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935" cy="441325"/>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58240" behindDoc="0" locked="0" layoutInCell="1" allowOverlap="1" wp14:anchorId="08F6EB54" wp14:editId="3489F075">
            <wp:simplePos x="0" y="0"/>
            <wp:positionH relativeFrom="margin">
              <wp:align>right</wp:align>
            </wp:positionH>
            <wp:positionV relativeFrom="paragraph">
              <wp:posOffset>9525</wp:posOffset>
            </wp:positionV>
            <wp:extent cx="935355" cy="508000"/>
            <wp:effectExtent l="0" t="0" r="0" b="6350"/>
            <wp:wrapTight wrapText="bothSides">
              <wp:wrapPolygon edited="0">
                <wp:start x="0" y="0"/>
                <wp:lineTo x="0" y="21060"/>
                <wp:lineTo x="21116" y="21060"/>
                <wp:lineTo x="21116" y="0"/>
                <wp:lineTo x="0" y="0"/>
              </wp:wrapPolygon>
            </wp:wrapTight>
            <wp:docPr id="1959743303" name="Slika 2" descr="Slika na kojoj se prikazuje krug, grafika, Font,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43303" name="Slika 2" descr="Slika na kojoj se prikazuje krug, grafika, Font, logotip&#10;&#10;Sadržaj generiran uz AI možda nije toča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5355" cy="50800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59264" behindDoc="0" locked="0" layoutInCell="1" allowOverlap="1" wp14:anchorId="0452B9DE" wp14:editId="57CEAD9B">
            <wp:simplePos x="0" y="0"/>
            <wp:positionH relativeFrom="column">
              <wp:posOffset>635</wp:posOffset>
            </wp:positionH>
            <wp:positionV relativeFrom="paragraph">
              <wp:posOffset>4445</wp:posOffset>
            </wp:positionV>
            <wp:extent cx="1676400" cy="705485"/>
            <wp:effectExtent l="0" t="0" r="0" b="0"/>
            <wp:wrapTight wrapText="bothSides">
              <wp:wrapPolygon edited="0">
                <wp:start x="2455" y="1167"/>
                <wp:lineTo x="1227" y="3500"/>
                <wp:lineTo x="0" y="8749"/>
                <wp:lineTo x="0" y="12832"/>
                <wp:lineTo x="2455" y="19831"/>
                <wp:lineTo x="5155" y="19831"/>
                <wp:lineTo x="15464" y="18664"/>
                <wp:lineTo x="21109" y="16331"/>
                <wp:lineTo x="21355" y="4083"/>
                <wp:lineTo x="19636" y="3500"/>
                <wp:lineTo x="5155" y="1167"/>
                <wp:lineTo x="2455" y="1167"/>
              </wp:wrapPolygon>
            </wp:wrapTight>
            <wp:docPr id="1471405113" name="Slika 1" descr="Slika na kojoj se prikazuje Font, tekst, logotip,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05113" name="Slika 1" descr="Slika na kojoj se prikazuje Font, tekst, logotip, grafika&#10;&#10;Sadržaj generiran uz AI možda nije točan."/>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400" cy="705485"/>
                    </a:xfrm>
                    <a:prstGeom prst="rect">
                      <a:avLst/>
                    </a:prstGeom>
                  </pic:spPr>
                </pic:pic>
              </a:graphicData>
            </a:graphic>
          </wp:anchor>
        </w:drawing>
      </w:r>
      <w:r w:rsidR="00985B95" w:rsidRPr="00B93B15">
        <w:rPr>
          <w:b/>
          <w:bCs/>
          <w:sz w:val="32"/>
          <w:szCs w:val="32"/>
        </w:rPr>
        <w:t xml:space="preserve">  </w:t>
      </w:r>
    </w:p>
    <w:p w14:paraId="56A89DF4" w14:textId="51D7D4DA" w:rsidR="006D1B86" w:rsidRPr="00B93B15" w:rsidRDefault="006D1B86" w:rsidP="002F14B9">
      <w:pPr>
        <w:rPr>
          <w:b/>
          <w:bCs/>
          <w:sz w:val="32"/>
          <w:szCs w:val="32"/>
        </w:rPr>
      </w:pPr>
    </w:p>
    <w:p w14:paraId="4B806E57" w14:textId="7B16B26E" w:rsidR="006D1B86" w:rsidRPr="00B93B15" w:rsidRDefault="00A14568" w:rsidP="002F14B9">
      <w:pPr>
        <w:rPr>
          <w:b/>
          <w:bCs/>
          <w:sz w:val="32"/>
          <w:szCs w:val="32"/>
        </w:rPr>
      </w:pPr>
      <w:r>
        <w:rPr>
          <w:b/>
          <w:bCs/>
          <w:noProof/>
          <w:sz w:val="32"/>
          <w:szCs w:val="32"/>
        </w:rPr>
        <w:drawing>
          <wp:anchor distT="0" distB="0" distL="114300" distR="114300" simplePos="0" relativeHeight="251661312" behindDoc="1" locked="0" layoutInCell="1" allowOverlap="1" wp14:anchorId="30C81A8D" wp14:editId="5844B562">
            <wp:simplePos x="0" y="0"/>
            <wp:positionH relativeFrom="column">
              <wp:posOffset>635</wp:posOffset>
            </wp:positionH>
            <wp:positionV relativeFrom="paragraph">
              <wp:posOffset>-1905</wp:posOffset>
            </wp:positionV>
            <wp:extent cx="6116320" cy="1901190"/>
            <wp:effectExtent l="0" t="0" r="0" b="3810"/>
            <wp:wrapNone/>
            <wp:docPr id="1107126458" name="Slika 2" descr="Slika na kojoj se prikazuje snimka zaslona, voda,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26458" name="Slika 2" descr="Slika na kojoj se prikazuje snimka zaslona, voda, dizajn&#10;&#10;Sadržaj generiran uz AI možda nije točan."/>
                    <pic:cNvPicPr/>
                  </pic:nvPicPr>
                  <pic:blipFill>
                    <a:blip r:embed="rId14">
                      <a:extLst>
                        <a:ext uri="{28A0092B-C50C-407E-A947-70E740481C1C}">
                          <a14:useLocalDpi xmlns:a14="http://schemas.microsoft.com/office/drawing/2010/main" val="0"/>
                        </a:ext>
                      </a:extLst>
                    </a:blip>
                    <a:stretch>
                      <a:fillRect/>
                    </a:stretch>
                  </pic:blipFill>
                  <pic:spPr>
                    <a:xfrm>
                      <a:off x="0" y="0"/>
                      <a:ext cx="6116320" cy="1901190"/>
                    </a:xfrm>
                    <a:prstGeom prst="rect">
                      <a:avLst/>
                    </a:prstGeom>
                  </pic:spPr>
                </pic:pic>
              </a:graphicData>
            </a:graphic>
            <wp14:sizeRelH relativeFrom="page">
              <wp14:pctWidth>0</wp14:pctWidth>
            </wp14:sizeRelH>
            <wp14:sizeRelV relativeFrom="page">
              <wp14:pctHeight>0</wp14:pctHeight>
            </wp14:sizeRelV>
          </wp:anchor>
        </w:drawing>
      </w:r>
    </w:p>
    <w:p w14:paraId="4A3BBE6A" w14:textId="1D05AB88" w:rsidR="00B82319" w:rsidRPr="00A14568" w:rsidRDefault="00667D16" w:rsidP="00A14568">
      <w:pPr>
        <w:jc w:val="center"/>
        <w:rPr>
          <w:rFonts w:ascii="Open Sans" w:hAnsi="Open Sans" w:cs="Open Sans"/>
          <w:b/>
          <w:bCs/>
          <w:color w:val="FFFFFF" w:themeColor="background1"/>
          <w:sz w:val="32"/>
          <w:szCs w:val="32"/>
        </w:rPr>
      </w:pPr>
      <w:r w:rsidRPr="00A14568">
        <w:rPr>
          <w:rFonts w:ascii="Open Sans" w:hAnsi="Open Sans" w:cs="Open Sans"/>
          <w:b/>
          <w:bCs/>
          <w:color w:val="FFFFFF" w:themeColor="background1"/>
          <w:sz w:val="32"/>
          <w:szCs w:val="32"/>
        </w:rPr>
        <w:t xml:space="preserve">Citizens' RECOMMENDATIONS </w:t>
      </w:r>
      <w:r w:rsidR="00A14568" w:rsidRPr="00A14568">
        <w:rPr>
          <w:rFonts w:ascii="Open Sans" w:hAnsi="Open Sans" w:cs="Open Sans"/>
          <w:b/>
          <w:bCs/>
          <w:color w:val="FFFFFF" w:themeColor="background1"/>
          <w:sz w:val="32"/>
          <w:szCs w:val="32"/>
        </w:rPr>
        <w:br/>
      </w:r>
      <w:r w:rsidRPr="00A14568">
        <w:rPr>
          <w:rFonts w:ascii="Open Sans" w:hAnsi="Open Sans" w:cs="Open Sans"/>
          <w:b/>
          <w:bCs/>
          <w:color w:val="FFFFFF" w:themeColor="background1"/>
          <w:sz w:val="32"/>
          <w:szCs w:val="32"/>
        </w:rPr>
        <w:t xml:space="preserve">for strengthening digital literacy, </w:t>
      </w:r>
      <w:r w:rsidR="00A14568" w:rsidRPr="00A14568">
        <w:rPr>
          <w:rFonts w:ascii="Open Sans" w:hAnsi="Open Sans" w:cs="Open Sans"/>
          <w:b/>
          <w:bCs/>
          <w:color w:val="FFFFFF" w:themeColor="background1"/>
          <w:sz w:val="32"/>
          <w:szCs w:val="32"/>
        </w:rPr>
        <w:br/>
      </w:r>
      <w:r w:rsidRPr="00A14568">
        <w:rPr>
          <w:rFonts w:ascii="Open Sans" w:hAnsi="Open Sans" w:cs="Open Sans"/>
          <w:b/>
          <w:bCs/>
          <w:color w:val="FFFFFF" w:themeColor="background1"/>
          <w:sz w:val="32"/>
          <w:szCs w:val="32"/>
        </w:rPr>
        <w:t>inclusion and quality of e-services in Croatia</w:t>
      </w:r>
    </w:p>
    <w:p w14:paraId="1CAB5370" w14:textId="77777777" w:rsidR="00667D16" w:rsidRPr="00B93B15" w:rsidRDefault="00667D16" w:rsidP="006D1B86">
      <w:pPr>
        <w:jc w:val="both"/>
      </w:pPr>
    </w:p>
    <w:p w14:paraId="1A61B3D4" w14:textId="77777777" w:rsidR="00A14568" w:rsidRDefault="00A14568" w:rsidP="00DA17B2">
      <w:pPr>
        <w:jc w:val="both"/>
      </w:pPr>
    </w:p>
    <w:p w14:paraId="5FA4A58A" w14:textId="66604AFF" w:rsidR="00667D16" w:rsidRPr="00B93B15" w:rsidRDefault="00667D16" w:rsidP="00DA17B2">
      <w:pPr>
        <w:jc w:val="both"/>
      </w:pPr>
      <w:r w:rsidRPr="00B93B15">
        <w:t>As part of the "Inclusive Digitalization in the EU" project, a crowdsourcing process was launched that enabled citizens to participate in proposing solutions for the ten previously identified challenges, from the lack of basic digital skills to the lack of ICT experts, especially among women. The goal of the project is to improve the participation of citizens and stakeholders in digital transformation, with a special emphasis on inclusiveness. For this purpose, an online crowdsourcing platform was designed that allows citizens and stakeholders to express their opinions and propose concrete solutions to reduce the digital divide. The involvement of citizens is essential for a better understanding of the scale and causes of these problems and for the design of effective and inclusive measures at the EU level.</w:t>
      </w:r>
    </w:p>
    <w:p w14:paraId="75A15C02" w14:textId="255987A3" w:rsidR="00DA17B2" w:rsidRPr="00A14568" w:rsidRDefault="00667D16" w:rsidP="00DA17B2">
      <w:pPr>
        <w:jc w:val="both"/>
        <w:rPr>
          <w:rFonts w:ascii="Open Sans" w:hAnsi="Open Sans" w:cs="Open Sans"/>
          <w:b/>
          <w:bCs/>
          <w:sz w:val="28"/>
          <w:szCs w:val="28"/>
        </w:rPr>
      </w:pPr>
      <w:r w:rsidRPr="00A14568">
        <w:rPr>
          <w:rFonts w:ascii="Open Sans" w:hAnsi="Open Sans" w:cs="Open Sans"/>
          <w:b/>
          <w:bCs/>
          <w:sz w:val="28"/>
          <w:szCs w:val="28"/>
        </w:rPr>
        <w:t>Methodology</w:t>
      </w:r>
    </w:p>
    <w:p w14:paraId="5614F74A" w14:textId="54390629" w:rsidR="00FA782E" w:rsidRPr="00B93B15" w:rsidRDefault="00FA782E" w:rsidP="007F1C90">
      <w:pPr>
        <w:jc w:val="both"/>
      </w:pPr>
      <w:r w:rsidRPr="00B93B15">
        <w:t xml:space="preserve">The process was carried out in six European countries — Belgium, Bulgaria, Croatia, Germany, Romania and Spain — and involved more than 1,800 citizens. Citizens identified key problems, proposed concrete solutions for their countries, and voted for those they considered most relevant through an online campaign. This document summarizes Croatia’s priorities according to the number of votes and formulates them into </w:t>
      </w:r>
      <w:r w:rsidR="00A14568" w:rsidRPr="00B93B15">
        <w:t>several</w:t>
      </w:r>
      <w:r w:rsidRPr="00B93B15">
        <w:t xml:space="preserve"> concrete recommendations for decision-makers and policymakers at the national and European levels. The aim of this summary is to present key insights and recommendations from Croatian citizens for more effective solutions to the identified problems.</w:t>
      </w:r>
    </w:p>
    <w:p w14:paraId="52F6902A" w14:textId="47E164AC" w:rsidR="002F14B9" w:rsidRPr="00A14568" w:rsidRDefault="00FA782E" w:rsidP="002F14B9">
      <w:pPr>
        <w:rPr>
          <w:rFonts w:ascii="Open Sans" w:hAnsi="Open Sans" w:cs="Open Sans"/>
          <w:b/>
          <w:bCs/>
          <w:sz w:val="28"/>
          <w:szCs w:val="28"/>
        </w:rPr>
      </w:pPr>
      <w:r w:rsidRPr="00A14568">
        <w:rPr>
          <w:rFonts w:ascii="Open Sans" w:hAnsi="Open Sans" w:cs="Open Sans"/>
          <w:b/>
          <w:bCs/>
          <w:sz w:val="28"/>
          <w:szCs w:val="28"/>
        </w:rPr>
        <w:t>Problems identified by citizens</w:t>
      </w:r>
    </w:p>
    <w:p w14:paraId="0C3E981E" w14:textId="0A4076C7" w:rsidR="00FA782E" w:rsidRPr="00B93B15" w:rsidRDefault="00FA782E" w:rsidP="001F19D5">
      <w:pPr>
        <w:jc w:val="both"/>
      </w:pPr>
      <w:r w:rsidRPr="00B93B15">
        <w:t xml:space="preserve">By participating in the crowdsourcing process, Croatian citizens identified 10 key problems for inclusive digitalization: (1) problems in the education system (insufficient encouragement of computer science, large differences in school equipment, and curricula that do not follow the needs of the </w:t>
      </w:r>
      <w:r w:rsidR="00B93B15" w:rsidRPr="00B93B15">
        <w:t>labour</w:t>
      </w:r>
      <w:r w:rsidRPr="00B93B15">
        <w:t xml:space="preserve"> market); (2) lack of quality, accessible education and local support for </w:t>
      </w:r>
      <w:r w:rsidRPr="00B93B15">
        <w:lastRenderedPageBreak/>
        <w:t>citizens; (3) lack of interest and lack of awareness of the importance of digital literacy; (4) digital exclusion of the elderly and the digital divide; (5) financial barriers and poverty that limit access to devices, the Internet, and education; (6) distrust of technology and fear of using new technologies, including concerns about the impact of artificial intelligence; (7) technological inequality in rural areas due to weaker infrastructure and lack of educational resources; (8) complexity of using apps, especially public e-services from a user experience perspective; (9) lack of ICT experts and talent drain; and (10) discrimination against women, the elderly, people with disabilities, and other groups in the ICT sector.</w:t>
      </w:r>
    </w:p>
    <w:p w14:paraId="0E2A6BCE" w14:textId="5FE9BBCB" w:rsidR="00C35CF0" w:rsidRPr="00A14568" w:rsidRDefault="0075650E" w:rsidP="00E50555">
      <w:pPr>
        <w:rPr>
          <w:rFonts w:ascii="Open Sans" w:hAnsi="Open Sans" w:cs="Open Sans"/>
          <w:b/>
          <w:bCs/>
          <w:sz w:val="28"/>
          <w:szCs w:val="28"/>
        </w:rPr>
      </w:pPr>
      <w:r w:rsidRPr="00A14568">
        <w:rPr>
          <w:rFonts w:ascii="Open Sans" w:hAnsi="Open Sans" w:cs="Open Sans"/>
          <w:b/>
          <w:bCs/>
          <w:sz w:val="28"/>
          <w:szCs w:val="28"/>
        </w:rPr>
        <w:t>What citizens support most</w:t>
      </w:r>
    </w:p>
    <w:p w14:paraId="233B7BE8" w14:textId="77777777" w:rsidR="0075650E" w:rsidRPr="00B93B15" w:rsidRDefault="0075650E" w:rsidP="0075650E">
      <w:pPr>
        <w:jc w:val="both"/>
      </w:pPr>
      <w:r w:rsidRPr="00B93B15">
        <w:t>According to the number of votes, citizens most supported solutions aimed at strengthening digital competences through the education system and practical learning programs. The most supported were proposals for the introduction of mandatory digital competences for students, along with systematic training of teachers, and for better adaptation of educational programs to real needs and everyday use. Proposals such as digital mentor programs and simpler and standardized design of public digital services also ranked highly.</w:t>
      </w:r>
    </w:p>
    <w:p w14:paraId="3C0D3CA3" w14:textId="77777777" w:rsidR="0075650E" w:rsidRPr="00B93B15" w:rsidRDefault="0075650E" w:rsidP="0075650E">
      <w:pPr>
        <w:jc w:val="both"/>
      </w:pPr>
      <w:r w:rsidRPr="00B93B15">
        <w:t>Significant support was also received for solutions that expand the availability of digital knowledge to the wider population, including digital literacy for all, the introduction of IT as a mandatory subject in secondary schools, and a broader reform of education in the direction of digitalization. Citizens also strongly emphasized the need for targeted programs for the elderly, for example through digital clubs for the elderly and practical training with the modernization of teaching methods.</w:t>
      </w:r>
    </w:p>
    <w:p w14:paraId="1DAF1E56" w14:textId="5D5E11E9" w:rsidR="0075650E" w:rsidRPr="00B93B15" w:rsidRDefault="0075650E" w:rsidP="0075650E">
      <w:pPr>
        <w:jc w:val="both"/>
      </w:pPr>
      <w:r w:rsidRPr="00B93B15">
        <w:t xml:space="preserve">In the area of </w:t>
      </w:r>
      <w:r w:rsidRPr="00B93B15">
        <w:rPr>
          <w:rFonts w:ascii="Arial" w:hAnsi="Arial" w:cs="Arial"/>
        </w:rPr>
        <w:t>​​</w:t>
      </w:r>
      <w:r w:rsidRPr="00B93B15">
        <w:t xml:space="preserve">infrastructure and equal access, proposals for subsidizing the internet and devices in cooperation with telecoms were supported. From the aspect of the </w:t>
      </w:r>
      <w:r w:rsidR="00B93B15" w:rsidRPr="00B93B15">
        <w:t>labour</w:t>
      </w:r>
      <w:r w:rsidRPr="00B93B15">
        <w:t xml:space="preserve"> market and inclusion, initiatives to retain digital talents and ensure equal opportunities in the digital world stand out.</w:t>
      </w:r>
    </w:p>
    <w:p w14:paraId="611AC2B0" w14:textId="66542132" w:rsidR="002F14B9" w:rsidRPr="00A14568" w:rsidRDefault="00115F63" w:rsidP="002F14B9">
      <w:pPr>
        <w:rPr>
          <w:rFonts w:ascii="Open Sans" w:hAnsi="Open Sans" w:cs="Open Sans"/>
          <w:b/>
          <w:bCs/>
          <w:sz w:val="28"/>
          <w:szCs w:val="28"/>
        </w:rPr>
      </w:pPr>
      <w:r w:rsidRPr="00A14568">
        <w:rPr>
          <w:rFonts w:ascii="Open Sans" w:hAnsi="Open Sans" w:cs="Open Sans"/>
          <w:b/>
          <w:bCs/>
          <w:sz w:val="28"/>
          <w:szCs w:val="28"/>
        </w:rPr>
        <w:t>Key messages</w:t>
      </w:r>
    </w:p>
    <w:p w14:paraId="3F4BE53B" w14:textId="49B9F0D1" w:rsidR="00115F63" w:rsidRPr="00B93B15" w:rsidRDefault="00115F63" w:rsidP="00C35CF0">
      <w:pPr>
        <w:pStyle w:val="Odlomakpopisa"/>
        <w:numPr>
          <w:ilvl w:val="0"/>
          <w:numId w:val="14"/>
        </w:numPr>
      </w:pPr>
      <w:r w:rsidRPr="00B93B15">
        <w:rPr>
          <w:b/>
          <w:bCs/>
        </w:rPr>
        <w:t>The education system is the main lever of digital inclusion.</w:t>
      </w:r>
      <w:r w:rsidRPr="00B93B15">
        <w:t xml:space="preserve"> Citizens clearly state that digital competences must be systematically developed through mandatory content in educational institutions and through continuous professional development of teachers, alongside the modernization of learning approaches.</w:t>
      </w:r>
    </w:p>
    <w:p w14:paraId="0E5FB558" w14:textId="77777777" w:rsidR="00115F63" w:rsidRPr="00B93B15" w:rsidRDefault="00115F63" w:rsidP="00C35CF0">
      <w:pPr>
        <w:pStyle w:val="Odlomakpopisa"/>
        <w:numPr>
          <w:ilvl w:val="0"/>
          <w:numId w:val="14"/>
        </w:numPr>
      </w:pPr>
      <w:r w:rsidRPr="00B93B15">
        <w:rPr>
          <w:b/>
          <w:bCs/>
        </w:rPr>
        <w:t xml:space="preserve">Digital skills should be practical and connected to everyday life. </w:t>
      </w:r>
      <w:r w:rsidRPr="00B93B15">
        <w:t>The strongest support is given to proposals that require computer science education and training to focus on concrete life needs (use of e-services, security, and useful everyday applications).</w:t>
      </w:r>
    </w:p>
    <w:p w14:paraId="348DF67A" w14:textId="55EDD98B" w:rsidR="00C35CF0" w:rsidRPr="00B93B15" w:rsidRDefault="00115F63" w:rsidP="00C35CF0">
      <w:pPr>
        <w:pStyle w:val="Odlomakpopisa"/>
        <w:numPr>
          <w:ilvl w:val="0"/>
          <w:numId w:val="14"/>
        </w:numPr>
      </w:pPr>
      <w:r w:rsidRPr="00B93B15">
        <w:rPr>
          <w:b/>
          <w:bCs/>
        </w:rPr>
        <w:lastRenderedPageBreak/>
        <w:t>Without access to the internet and devices, there is no real inclusion.</w:t>
      </w:r>
      <w:r w:rsidRPr="00B93B15">
        <w:t xml:space="preserve"> Citizens support measures that reduce cost barriers and ensure affordable packages and equipment for socially vulnerable groups.</w:t>
      </w:r>
      <w:r w:rsidR="00C35CF0" w:rsidRPr="00B93B15">
        <w:t xml:space="preserve"> </w:t>
      </w:r>
    </w:p>
    <w:p w14:paraId="501BB503" w14:textId="64AA6BE5" w:rsidR="00C35CF0" w:rsidRPr="00B93B15" w:rsidRDefault="00DB7581" w:rsidP="00C35CF0">
      <w:pPr>
        <w:pStyle w:val="Odlomakpopisa"/>
        <w:numPr>
          <w:ilvl w:val="0"/>
          <w:numId w:val="14"/>
        </w:numPr>
      </w:pPr>
      <w:r w:rsidRPr="00B93B15">
        <w:rPr>
          <w:b/>
          <w:bCs/>
        </w:rPr>
        <w:t>Public e-services must be simple, standardized, and user-tested.</w:t>
      </w:r>
      <w:r w:rsidRPr="00B93B15">
        <w:t xml:space="preserve"> The complexity of digital interfaces directly creates exclusion; therefore, citizens call for clear UX/UI standards and accessible design.</w:t>
      </w:r>
    </w:p>
    <w:p w14:paraId="02117246" w14:textId="335294A8" w:rsidR="00DB7581" w:rsidRPr="00B93B15" w:rsidRDefault="00DB7581" w:rsidP="00C35CF0">
      <w:pPr>
        <w:pStyle w:val="Odlomakpopisa"/>
        <w:numPr>
          <w:ilvl w:val="0"/>
          <w:numId w:val="14"/>
        </w:numPr>
      </w:pPr>
      <w:r w:rsidRPr="00B93B15">
        <w:rPr>
          <w:b/>
          <w:bCs/>
        </w:rPr>
        <w:t>Local, on-the-ground support is crucial for older and vulnerable groups.</w:t>
      </w:r>
      <w:r w:rsidRPr="00B93B15">
        <w:t xml:space="preserve"> Ideas such as digital mentors and local/thematic clubs show that citizens want a combination of technology and trusted human support.</w:t>
      </w:r>
    </w:p>
    <w:p w14:paraId="43D0D486" w14:textId="4EE96006" w:rsidR="00DB7581" w:rsidRPr="00B93B15" w:rsidRDefault="00DB7581" w:rsidP="00C35CF0">
      <w:pPr>
        <w:pStyle w:val="Odlomakpopisa"/>
        <w:numPr>
          <w:ilvl w:val="0"/>
          <w:numId w:val="14"/>
        </w:numPr>
      </w:pPr>
      <w:r w:rsidRPr="00B93B15">
        <w:rPr>
          <w:b/>
          <w:bCs/>
        </w:rPr>
        <w:t>Trust and digital security must be built as part of digital literacy.</w:t>
      </w:r>
      <w:r w:rsidRPr="00B93B15">
        <w:t xml:space="preserve"> Fear of mistakes, fraud, and loss of privacy is not a secondary issue, but a real barrier that requires ongoing education and clear communication.</w:t>
      </w:r>
    </w:p>
    <w:p w14:paraId="5CDA1EC9" w14:textId="1E358F6E" w:rsidR="00DB7581" w:rsidRPr="00B93B15" w:rsidRDefault="00DB7581" w:rsidP="002F14B9">
      <w:pPr>
        <w:pStyle w:val="Odlomakpopisa"/>
        <w:numPr>
          <w:ilvl w:val="0"/>
          <w:numId w:val="14"/>
        </w:numPr>
      </w:pPr>
      <w:r w:rsidRPr="00B93B15">
        <w:rPr>
          <w:b/>
          <w:bCs/>
        </w:rPr>
        <w:t>Addressing the shortage of ICT professionals requires talent retention and the promotion of lifelong learning for work in ICT.</w:t>
      </w:r>
      <w:r w:rsidRPr="00B93B15">
        <w:t xml:space="preserve"> Citizens recognize that working conditions, salaries, reskilling, and a supportive environment are decisive for strengthening the domestic sector.</w:t>
      </w:r>
    </w:p>
    <w:p w14:paraId="18189455" w14:textId="15622C1A" w:rsidR="000C3133" w:rsidRDefault="00DB7581" w:rsidP="00A14568">
      <w:pPr>
        <w:pStyle w:val="Odlomakpopisa"/>
      </w:pPr>
      <w:r w:rsidRPr="00B93B15">
        <w:rPr>
          <w:b/>
          <w:bCs/>
        </w:rPr>
        <w:t xml:space="preserve">The digital transition must be gender- and socially inclusive. </w:t>
      </w:r>
      <w:r w:rsidR="00876BC9" w:rsidRPr="00B93B15">
        <w:t>Emphasis</w:t>
      </w:r>
      <w:r w:rsidRPr="00B93B15">
        <w:t xml:space="preserve"> is placed on measures that increase the participation of women, persons with disabilities, and older people in ICT through mentoring and inclusive employment policies.</w:t>
      </w:r>
    </w:p>
    <w:p w14:paraId="64531913" w14:textId="77777777" w:rsidR="00A14568" w:rsidRPr="00A14568" w:rsidRDefault="00A14568" w:rsidP="00A14568">
      <w:pPr>
        <w:pStyle w:val="Odlomakpopisa"/>
      </w:pPr>
    </w:p>
    <w:p w14:paraId="07812DA3" w14:textId="48B9B9C5" w:rsidR="002F14B9" w:rsidRPr="00A14568" w:rsidRDefault="00DB7581" w:rsidP="00DA17B2">
      <w:pPr>
        <w:shd w:val="clear" w:color="auto" w:fill="FFFFFF" w:themeFill="background1"/>
        <w:rPr>
          <w:rFonts w:ascii="Open Sans" w:hAnsi="Open Sans" w:cs="Open Sans"/>
          <w:b/>
          <w:bCs/>
          <w:sz w:val="28"/>
          <w:szCs w:val="28"/>
        </w:rPr>
      </w:pPr>
      <w:r w:rsidRPr="00A14568">
        <w:rPr>
          <w:rFonts w:ascii="Open Sans" w:hAnsi="Open Sans" w:cs="Open Sans"/>
          <w:b/>
          <w:bCs/>
          <w:color w:val="FFC000"/>
          <w:sz w:val="28"/>
          <w:szCs w:val="28"/>
        </w:rPr>
        <w:t>RECOMMENDATION 1</w:t>
      </w:r>
      <w:r w:rsidR="00DA17B2" w:rsidRPr="00A14568">
        <w:rPr>
          <w:rFonts w:ascii="Open Sans" w:hAnsi="Open Sans" w:cs="Open Sans"/>
          <w:b/>
          <w:bCs/>
          <w:color w:val="FFC000"/>
          <w:sz w:val="28"/>
          <w:szCs w:val="28"/>
        </w:rPr>
        <w:br/>
      </w:r>
      <w:r w:rsidRPr="00A14568">
        <w:rPr>
          <w:rFonts w:ascii="Open Sans" w:hAnsi="Open Sans" w:cs="Open Sans"/>
          <w:b/>
          <w:bCs/>
          <w:sz w:val="28"/>
          <w:szCs w:val="28"/>
        </w:rPr>
        <w:t>Education Reform for Digital Competences</w:t>
      </w:r>
    </w:p>
    <w:p w14:paraId="063B2E25" w14:textId="568FA7A1" w:rsidR="006C2F0F" w:rsidRPr="00B93B15" w:rsidRDefault="00DB7581" w:rsidP="00DA17B2">
      <w:pPr>
        <w:shd w:val="clear" w:color="auto" w:fill="FFFFFF" w:themeFill="background1"/>
        <w:rPr>
          <w:i/>
          <w:iCs/>
        </w:rPr>
      </w:pPr>
      <w:r w:rsidRPr="00B93B15">
        <w:rPr>
          <w:i/>
          <w:iCs/>
        </w:rPr>
        <w:t>Ensure that strengthening digital competences is mandatory in primary and secondary education, with an emphasis on learning through real-life situations</w:t>
      </w:r>
      <w:r w:rsidR="00642F7F" w:rsidRPr="00B93B15">
        <w:rPr>
          <w:i/>
          <w:iCs/>
        </w:rPr>
        <w:t>.</w:t>
      </w:r>
    </w:p>
    <w:p w14:paraId="4051D29A" w14:textId="77777777" w:rsidR="00DB7581" w:rsidRPr="00B93B15" w:rsidRDefault="00DB7581" w:rsidP="00DA17B2">
      <w:pPr>
        <w:pStyle w:val="Odlomakpopisa"/>
        <w:numPr>
          <w:ilvl w:val="0"/>
          <w:numId w:val="21"/>
        </w:numPr>
      </w:pPr>
      <w:r w:rsidRPr="00B93B15">
        <w:t>Introduce mandatory digital competences into the curricula of primary and secondary schools, with continuous professional development for teachers (the most strongly supported measure).</w:t>
      </w:r>
    </w:p>
    <w:p w14:paraId="7306F51F" w14:textId="77777777" w:rsidR="00DB7581" w:rsidRPr="00B93B15" w:rsidRDefault="00DB7581" w:rsidP="00DA17B2">
      <w:pPr>
        <w:pStyle w:val="Odlomakpopisa"/>
        <w:numPr>
          <w:ilvl w:val="0"/>
          <w:numId w:val="21"/>
        </w:numPr>
      </w:pPr>
      <w:r w:rsidRPr="00B93B15">
        <w:t>Make computer science a compulsory subject in all secondary schools through a unified curriculum aligned with the DigComp framework for citizens’ digital competences.</w:t>
      </w:r>
    </w:p>
    <w:p w14:paraId="7B2FA452" w14:textId="77777777" w:rsidR="00DB7581" w:rsidRPr="00B93B15" w:rsidRDefault="00DB7581" w:rsidP="00DA17B2">
      <w:pPr>
        <w:pStyle w:val="Odlomakpopisa"/>
        <w:numPr>
          <w:ilvl w:val="0"/>
          <w:numId w:val="21"/>
        </w:numPr>
      </w:pPr>
      <w:r w:rsidRPr="00B93B15">
        <w:t>Redirect computer science teaching toward “digital for life”: e-services, online safety, critical understanding of technology, and encouraging students to transfer knowledge to their families.</w:t>
      </w:r>
    </w:p>
    <w:p w14:paraId="628C539E" w14:textId="4095D0BB" w:rsidR="00DA17B2" w:rsidRPr="00B93B15" w:rsidRDefault="00DB7581" w:rsidP="00DA17B2">
      <w:pPr>
        <w:pStyle w:val="Odlomakpopisa"/>
        <w:numPr>
          <w:ilvl w:val="0"/>
          <w:numId w:val="21"/>
        </w:numPr>
      </w:pPr>
      <w:r w:rsidRPr="00B93B15">
        <w:t>Introduce a “digital classroom for all” standard to reduce differences in equipment and the quality of teaching delivery.</w:t>
      </w:r>
    </w:p>
    <w:p w14:paraId="6AD4C8EE" w14:textId="51DA6D5D" w:rsidR="00433901" w:rsidRPr="00A14568" w:rsidRDefault="000F7C4E" w:rsidP="00433901">
      <w:pPr>
        <w:rPr>
          <w:rFonts w:ascii="Open Sans" w:hAnsi="Open Sans" w:cs="Open Sans"/>
          <w:b/>
          <w:bCs/>
          <w:sz w:val="28"/>
          <w:szCs w:val="28"/>
        </w:rPr>
      </w:pPr>
      <w:r w:rsidRPr="00A14568">
        <w:rPr>
          <w:rFonts w:ascii="Open Sans" w:hAnsi="Open Sans" w:cs="Open Sans"/>
          <w:b/>
          <w:bCs/>
          <w:color w:val="FFC000"/>
          <w:sz w:val="28"/>
          <w:szCs w:val="28"/>
        </w:rPr>
        <w:lastRenderedPageBreak/>
        <w:t>RECOMMENDATION</w:t>
      </w:r>
      <w:r w:rsidR="00355750" w:rsidRPr="00A14568">
        <w:rPr>
          <w:rFonts w:ascii="Open Sans" w:hAnsi="Open Sans" w:cs="Open Sans"/>
          <w:b/>
          <w:bCs/>
          <w:color w:val="FFC000"/>
          <w:sz w:val="28"/>
          <w:szCs w:val="28"/>
        </w:rPr>
        <w:t xml:space="preserve"> 2</w:t>
      </w:r>
      <w:r w:rsidR="00355750" w:rsidRPr="00A14568">
        <w:rPr>
          <w:rFonts w:ascii="Open Sans" w:hAnsi="Open Sans" w:cs="Open Sans"/>
          <w:b/>
          <w:bCs/>
          <w:sz w:val="28"/>
          <w:szCs w:val="28"/>
        </w:rPr>
        <w:br/>
      </w:r>
      <w:r w:rsidRPr="00A14568">
        <w:rPr>
          <w:rFonts w:ascii="Open Sans" w:hAnsi="Open Sans" w:cs="Open Sans"/>
          <w:b/>
          <w:bCs/>
          <w:sz w:val="28"/>
          <w:szCs w:val="28"/>
        </w:rPr>
        <w:t>Lifelong Learning, Inclusion and Local Support</w:t>
      </w:r>
    </w:p>
    <w:p w14:paraId="7EA84409" w14:textId="77777777" w:rsidR="000F7C4E" w:rsidRPr="00B93B15" w:rsidRDefault="000F7C4E" w:rsidP="000F7C4E">
      <w:pPr>
        <w:rPr>
          <w:i/>
          <w:iCs/>
        </w:rPr>
      </w:pPr>
      <w:r w:rsidRPr="00B93B15">
        <w:rPr>
          <w:i/>
          <w:iCs/>
        </w:rPr>
        <w:t>Develop an accessible network of learning and assistance that integrates education, mentoring, and support programs in trusted local institutions.</w:t>
      </w:r>
    </w:p>
    <w:p w14:paraId="73908C60" w14:textId="77777777" w:rsidR="000F7C4E" w:rsidRPr="00B93B15" w:rsidRDefault="000F7C4E" w:rsidP="000D0DB0">
      <w:pPr>
        <w:pStyle w:val="Odlomakpopisa"/>
        <w:numPr>
          <w:ilvl w:val="0"/>
          <w:numId w:val="23"/>
        </w:numPr>
      </w:pPr>
      <w:r w:rsidRPr="00B93B15">
        <w:t>Launch free workshops and online courses for all age groups, and establish local support centers (libraries, associations, educational institutions), with programs tailored to older people, the unemployed, and persons with disabilities; in particular, ensure the availability of programs in rural and remote areas through mobile teams and partner local centers.</w:t>
      </w:r>
    </w:p>
    <w:p w14:paraId="7CE1081B" w14:textId="77777777" w:rsidR="000F7C4E" w:rsidRPr="00B93B15" w:rsidRDefault="000F7C4E" w:rsidP="000F7C4E">
      <w:pPr>
        <w:pStyle w:val="Odlomakpopisa"/>
        <w:numPr>
          <w:ilvl w:val="0"/>
          <w:numId w:val="23"/>
        </w:numPr>
      </w:pPr>
      <w:r w:rsidRPr="00B93B15">
        <w:t>Change learning methodologies in schools and adult education programs towards interactive, practical work on concrete everyday tasks.</w:t>
      </w:r>
    </w:p>
    <w:p w14:paraId="7A8CB897" w14:textId="77777777" w:rsidR="000F7C4E" w:rsidRPr="00B93B15" w:rsidRDefault="000F7C4E" w:rsidP="000F7C4E">
      <w:pPr>
        <w:pStyle w:val="Odlomakpopisa"/>
        <w:numPr>
          <w:ilvl w:val="0"/>
          <w:numId w:val="23"/>
        </w:numPr>
      </w:pPr>
      <w:r w:rsidRPr="00B93B15">
        <w:t>Establish a national digital literacy platform as a central place for learning, information, and connection with mentors.</w:t>
      </w:r>
    </w:p>
    <w:p w14:paraId="060A6D32" w14:textId="77777777" w:rsidR="000F7C4E" w:rsidRPr="00B93B15" w:rsidRDefault="000F7C4E" w:rsidP="000F7C4E">
      <w:pPr>
        <w:pStyle w:val="Odlomakpopisa"/>
        <w:numPr>
          <w:ilvl w:val="0"/>
          <w:numId w:val="23"/>
        </w:numPr>
      </w:pPr>
      <w:r w:rsidRPr="00B93B15">
        <w:t>Open community digital centers in municipalities and cities with programs tailored to older people, the unemployed, and persons with disabilities.</w:t>
      </w:r>
    </w:p>
    <w:p w14:paraId="7806F2ED" w14:textId="77777777" w:rsidR="000F7C4E" w:rsidRPr="00B93B15" w:rsidRDefault="000F7C4E" w:rsidP="000F7C4E">
      <w:pPr>
        <w:pStyle w:val="Odlomakpopisa"/>
        <w:numPr>
          <w:ilvl w:val="0"/>
          <w:numId w:val="23"/>
        </w:numPr>
      </w:pPr>
      <w:r w:rsidRPr="00B93B15">
        <w:t>Introduce a program of digital mentors in public institutions and local communities as “trusted points” for assistance in using e-services.</w:t>
      </w:r>
    </w:p>
    <w:p w14:paraId="47A2749A" w14:textId="77777777" w:rsidR="000F7C4E" w:rsidRPr="00B93B15" w:rsidRDefault="000F7C4E" w:rsidP="000F7C4E">
      <w:pPr>
        <w:pStyle w:val="Odlomakpopisa"/>
        <w:numPr>
          <w:ilvl w:val="0"/>
          <w:numId w:val="23"/>
        </w:numPr>
      </w:pPr>
      <w:r w:rsidRPr="00B93B15">
        <w:t>Organize digital clubs for older people in libraries and retirement homes with the support of volunteers and students.</w:t>
      </w:r>
    </w:p>
    <w:p w14:paraId="4CEF30CC" w14:textId="0DC21292" w:rsidR="000F7C4E" w:rsidRPr="00B93B15" w:rsidRDefault="000F7C4E" w:rsidP="000F7C4E">
      <w:pPr>
        <w:pStyle w:val="Odlomakpopisa"/>
        <w:numPr>
          <w:ilvl w:val="0"/>
          <w:numId w:val="23"/>
        </w:numPr>
      </w:pPr>
      <w:r w:rsidRPr="00B93B15">
        <w:t>Ensure accessible materials and tools for older people and persons with disabilities, and link education with access measures (devices/internet) so that participants can practice after training.</w:t>
      </w:r>
    </w:p>
    <w:p w14:paraId="02D8399B" w14:textId="37361DE3" w:rsidR="006C2F0F" w:rsidRPr="00A14568" w:rsidRDefault="00D53122" w:rsidP="006C2F0F">
      <w:pPr>
        <w:rPr>
          <w:rFonts w:ascii="Open Sans" w:hAnsi="Open Sans" w:cs="Open Sans"/>
          <w:b/>
          <w:bCs/>
          <w:sz w:val="28"/>
          <w:szCs w:val="28"/>
        </w:rPr>
      </w:pPr>
      <w:r w:rsidRPr="00B93B15">
        <w:rPr>
          <w:b/>
          <w:bCs/>
          <w:color w:val="FFC000"/>
          <w:sz w:val="28"/>
          <w:szCs w:val="28"/>
        </w:rPr>
        <w:br/>
      </w:r>
      <w:r w:rsidR="00E442C1" w:rsidRPr="00A14568">
        <w:rPr>
          <w:rFonts w:ascii="Open Sans" w:hAnsi="Open Sans" w:cs="Open Sans"/>
          <w:b/>
          <w:bCs/>
          <w:color w:val="FFC000"/>
          <w:sz w:val="28"/>
          <w:szCs w:val="28"/>
        </w:rPr>
        <w:t>RECOMMENDATION</w:t>
      </w:r>
      <w:r w:rsidR="000D0DB0" w:rsidRPr="00A14568">
        <w:rPr>
          <w:rFonts w:ascii="Open Sans" w:hAnsi="Open Sans" w:cs="Open Sans"/>
          <w:b/>
          <w:bCs/>
          <w:color w:val="FFC000"/>
          <w:sz w:val="28"/>
          <w:szCs w:val="28"/>
        </w:rPr>
        <w:t xml:space="preserve"> </w:t>
      </w:r>
      <w:r w:rsidR="006C2F0F" w:rsidRPr="00A14568">
        <w:rPr>
          <w:rFonts w:ascii="Open Sans" w:hAnsi="Open Sans" w:cs="Open Sans"/>
          <w:b/>
          <w:bCs/>
          <w:color w:val="FFC000"/>
          <w:sz w:val="28"/>
          <w:szCs w:val="28"/>
        </w:rPr>
        <w:t>3</w:t>
      </w:r>
      <w:r w:rsidRPr="00A14568">
        <w:rPr>
          <w:rFonts w:ascii="Open Sans" w:hAnsi="Open Sans" w:cs="Open Sans"/>
          <w:b/>
          <w:bCs/>
          <w:sz w:val="28"/>
          <w:szCs w:val="28"/>
        </w:rPr>
        <w:br/>
      </w:r>
      <w:r w:rsidR="000D0DB0" w:rsidRPr="00A14568">
        <w:rPr>
          <w:rFonts w:ascii="Open Sans" w:hAnsi="Open Sans" w:cs="Open Sans"/>
          <w:b/>
          <w:bCs/>
          <w:sz w:val="28"/>
          <w:szCs w:val="28"/>
        </w:rPr>
        <w:t>I</w:t>
      </w:r>
      <w:r w:rsidR="00E442C1" w:rsidRPr="00A14568">
        <w:rPr>
          <w:rFonts w:ascii="Open Sans" w:hAnsi="Open Sans" w:cs="Open Sans"/>
          <w:b/>
          <w:bCs/>
          <w:sz w:val="28"/>
          <w:szCs w:val="28"/>
        </w:rPr>
        <w:t>nfrastructure and Secure Access</w:t>
      </w:r>
      <w:r w:rsidR="0085254C" w:rsidRPr="00A14568">
        <w:rPr>
          <w:rFonts w:ascii="Open Sans" w:hAnsi="Open Sans" w:cs="Open Sans"/>
          <w:b/>
          <w:bCs/>
          <w:sz w:val="28"/>
          <w:szCs w:val="28"/>
        </w:rPr>
        <w:t xml:space="preserve"> </w:t>
      </w:r>
    </w:p>
    <w:p w14:paraId="238C0398" w14:textId="5CB981F8" w:rsidR="000D0DB0" w:rsidRPr="00B93B15" w:rsidRDefault="00E442C1" w:rsidP="00E442C1">
      <w:pPr>
        <w:rPr>
          <w:i/>
          <w:iCs/>
        </w:rPr>
      </w:pPr>
      <w:r w:rsidRPr="00B93B15">
        <w:rPr>
          <w:i/>
          <w:iCs/>
        </w:rPr>
        <w:t>Ensure simple, affordable, and secure access to the internet, devices, and e-services, with a special focus on rural and remote areas</w:t>
      </w:r>
      <w:r w:rsidR="006E1102" w:rsidRPr="00B93B15">
        <w:rPr>
          <w:i/>
          <w:iCs/>
        </w:rPr>
        <w:t>.</w:t>
      </w:r>
    </w:p>
    <w:p w14:paraId="6F5E7CE7" w14:textId="77777777" w:rsidR="00E442C1" w:rsidRPr="00B93B15" w:rsidRDefault="00E442C1" w:rsidP="006C2F0F">
      <w:pPr>
        <w:pStyle w:val="Odlomakpopisa"/>
        <w:numPr>
          <w:ilvl w:val="0"/>
          <w:numId w:val="25"/>
        </w:numPr>
      </w:pPr>
      <w:r w:rsidRPr="00B93B15">
        <w:t>Prioritize the construction of broadband infrastructure in rural areas, using EU funds and public–private partnerships.</w:t>
      </w:r>
    </w:p>
    <w:p w14:paraId="3FA34D49" w14:textId="77777777" w:rsidR="00E442C1" w:rsidRPr="00B93B15" w:rsidRDefault="00E442C1" w:rsidP="006C2F0F">
      <w:pPr>
        <w:pStyle w:val="Odlomakpopisa"/>
        <w:numPr>
          <w:ilvl w:val="0"/>
          <w:numId w:val="25"/>
        </w:numPr>
      </w:pPr>
      <w:r w:rsidRPr="00B93B15">
        <w:t>Establish mobile county-level teams/telecenters for education and practical on-site assistance through a continuous program of visits to micro-locations.</w:t>
      </w:r>
    </w:p>
    <w:p w14:paraId="7B53FD9C" w14:textId="77777777" w:rsidR="00E442C1" w:rsidRPr="00B93B15" w:rsidRDefault="00E442C1" w:rsidP="006C2F0F">
      <w:pPr>
        <w:pStyle w:val="Odlomakpopisa"/>
        <w:numPr>
          <w:ilvl w:val="0"/>
          <w:numId w:val="25"/>
        </w:numPr>
      </w:pPr>
      <w:r w:rsidRPr="00B93B15">
        <w:t>Develop models of subsidized internet access and devices for socially vulnerable groups, in cooperation with telecom providers.</w:t>
      </w:r>
    </w:p>
    <w:p w14:paraId="18661811" w14:textId="5CA68548" w:rsidR="00E442C1" w:rsidRPr="00B93B15" w:rsidRDefault="00E442C1" w:rsidP="006C2F0F">
      <w:pPr>
        <w:pStyle w:val="Odlomakpopisa"/>
        <w:numPr>
          <w:ilvl w:val="0"/>
          <w:numId w:val="25"/>
        </w:numPr>
      </w:pPr>
      <w:r w:rsidRPr="00B93B15">
        <w:t>Ensure the permanent availability of free programs and volunteer support.</w:t>
      </w:r>
    </w:p>
    <w:p w14:paraId="72116745" w14:textId="01FF4B96" w:rsidR="000D0DB0" w:rsidRPr="00A14568" w:rsidRDefault="00E442C1" w:rsidP="000D0DB0">
      <w:pPr>
        <w:rPr>
          <w:rFonts w:ascii="Open Sans" w:hAnsi="Open Sans" w:cs="Open Sans"/>
          <w:b/>
          <w:bCs/>
          <w:sz w:val="28"/>
          <w:szCs w:val="28"/>
        </w:rPr>
      </w:pPr>
      <w:r w:rsidRPr="00A14568">
        <w:rPr>
          <w:rFonts w:ascii="Open Sans" w:hAnsi="Open Sans" w:cs="Open Sans"/>
          <w:b/>
          <w:bCs/>
          <w:color w:val="FFC000"/>
          <w:sz w:val="28"/>
          <w:szCs w:val="28"/>
        </w:rPr>
        <w:lastRenderedPageBreak/>
        <w:t>RECOMMENDATION</w:t>
      </w:r>
      <w:r w:rsidR="000D0DB0" w:rsidRPr="00A14568">
        <w:rPr>
          <w:rFonts w:ascii="Open Sans" w:hAnsi="Open Sans" w:cs="Open Sans"/>
          <w:b/>
          <w:bCs/>
          <w:color w:val="FFC000"/>
          <w:sz w:val="28"/>
          <w:szCs w:val="28"/>
        </w:rPr>
        <w:t xml:space="preserve"> </w:t>
      </w:r>
      <w:r w:rsidR="009033D5" w:rsidRPr="00A14568">
        <w:rPr>
          <w:rFonts w:ascii="Open Sans" w:hAnsi="Open Sans" w:cs="Open Sans"/>
          <w:b/>
          <w:bCs/>
          <w:color w:val="FFC000"/>
          <w:sz w:val="28"/>
          <w:szCs w:val="28"/>
        </w:rPr>
        <w:t>4</w:t>
      </w:r>
      <w:r w:rsidR="00D53122" w:rsidRPr="00A14568">
        <w:rPr>
          <w:rFonts w:ascii="Open Sans" w:hAnsi="Open Sans" w:cs="Open Sans"/>
          <w:b/>
          <w:bCs/>
          <w:sz w:val="28"/>
          <w:szCs w:val="28"/>
        </w:rPr>
        <w:br/>
      </w:r>
      <w:r w:rsidRPr="00A14568">
        <w:rPr>
          <w:rFonts w:ascii="Open Sans" w:hAnsi="Open Sans" w:cs="Open Sans"/>
          <w:b/>
          <w:bCs/>
          <w:sz w:val="28"/>
          <w:szCs w:val="28"/>
        </w:rPr>
        <w:t>Design of Public E-Services, Trust and Security</w:t>
      </w:r>
    </w:p>
    <w:p w14:paraId="010892A1" w14:textId="19F31993" w:rsidR="009033D5" w:rsidRPr="00B93B15" w:rsidRDefault="00E442C1" w:rsidP="000D0DB0">
      <w:pPr>
        <w:rPr>
          <w:i/>
          <w:iCs/>
        </w:rPr>
      </w:pPr>
      <w:r w:rsidRPr="00B93B15">
        <w:rPr>
          <w:i/>
          <w:iCs/>
        </w:rPr>
        <w:t>Increase the use of e-services through simple design, user support, and continuous awareness-raising about cybersecurity</w:t>
      </w:r>
      <w:r w:rsidR="005B33B2" w:rsidRPr="00B93B15">
        <w:rPr>
          <w:i/>
          <w:iCs/>
        </w:rPr>
        <w:t>.</w:t>
      </w:r>
    </w:p>
    <w:p w14:paraId="0C92ED95" w14:textId="77777777" w:rsidR="00E442C1" w:rsidRPr="00B93B15" w:rsidRDefault="00E442C1" w:rsidP="00E442C1">
      <w:pPr>
        <w:pStyle w:val="Odlomakpopisa"/>
        <w:numPr>
          <w:ilvl w:val="0"/>
          <w:numId w:val="26"/>
        </w:numPr>
      </w:pPr>
      <w:r w:rsidRPr="00B93B15">
        <w:t>Standardize the design of public digital services according to accessibility-oriented UX/UI principles, with mandatory testing involving users of different knowledge levels.</w:t>
      </w:r>
    </w:p>
    <w:p w14:paraId="64851689" w14:textId="77777777" w:rsidR="00E442C1" w:rsidRPr="00B93B15" w:rsidRDefault="00E442C1" w:rsidP="00E442C1">
      <w:pPr>
        <w:pStyle w:val="Odlomakpopisa"/>
        <w:numPr>
          <w:ilvl w:val="0"/>
          <w:numId w:val="26"/>
        </w:numPr>
      </w:pPr>
      <w:r w:rsidRPr="00B93B15">
        <w:t>Simplify login and authorization processes and enable assistance in “trusted institutions” for citizens without smart devices.</w:t>
      </w:r>
    </w:p>
    <w:p w14:paraId="2BCEA040" w14:textId="77777777" w:rsidR="00E442C1" w:rsidRPr="00B93B15" w:rsidRDefault="00E442C1" w:rsidP="00E442C1">
      <w:pPr>
        <w:pStyle w:val="Odlomakpopisa"/>
        <w:numPr>
          <w:ilvl w:val="0"/>
          <w:numId w:val="26"/>
        </w:numPr>
      </w:pPr>
      <w:r w:rsidRPr="00B93B15">
        <w:t>Consider standardizing terminology and metadata to improve searchability and form completion.</w:t>
      </w:r>
    </w:p>
    <w:p w14:paraId="5382EE0C" w14:textId="77777777" w:rsidR="00E442C1" w:rsidRPr="00B93B15" w:rsidRDefault="00E442C1" w:rsidP="00E442C1">
      <w:pPr>
        <w:pStyle w:val="Odlomakpopisa"/>
        <w:numPr>
          <w:ilvl w:val="0"/>
          <w:numId w:val="26"/>
        </w:numPr>
      </w:pPr>
      <w:r w:rsidRPr="00B93B15">
        <w:t>Conduct continuous campaigns and short training sessions on digital security, data protection, and the responsible use of AI.</w:t>
      </w:r>
    </w:p>
    <w:p w14:paraId="7D1DAA3B" w14:textId="77777777" w:rsidR="00E442C1" w:rsidRPr="00B93B15" w:rsidRDefault="00E442C1" w:rsidP="00E442C1">
      <w:pPr>
        <w:pStyle w:val="Odlomakpopisa"/>
        <w:numPr>
          <w:ilvl w:val="0"/>
          <w:numId w:val="26"/>
        </w:numPr>
      </w:pPr>
      <w:r w:rsidRPr="00B93B15">
        <w:t>Introduce accessible education on data protection and digital security through media, leaflets, and local workshops.</w:t>
      </w:r>
    </w:p>
    <w:p w14:paraId="3C7C9296" w14:textId="04C4632F" w:rsidR="00E442C1" w:rsidRPr="00B93B15" w:rsidRDefault="00E442C1" w:rsidP="00E442C1">
      <w:pPr>
        <w:pStyle w:val="Odlomakpopisa"/>
        <w:numPr>
          <w:ilvl w:val="0"/>
          <w:numId w:val="26"/>
        </w:numPr>
      </w:pPr>
      <w:r w:rsidRPr="00B93B15">
        <w:t>Strengthen transparent communication about security measures and encourage public dialogue on the ethics of technology.</w:t>
      </w:r>
    </w:p>
    <w:p w14:paraId="2ADBBC2B" w14:textId="77777777" w:rsidR="00E442C1" w:rsidRPr="00B93B15" w:rsidRDefault="00E442C1" w:rsidP="00E442C1"/>
    <w:p w14:paraId="100751D7" w14:textId="60260B5C" w:rsidR="00B93B15" w:rsidRPr="00A14568" w:rsidRDefault="00E442C1" w:rsidP="000D0DB0">
      <w:pPr>
        <w:rPr>
          <w:rFonts w:ascii="Open Sans" w:hAnsi="Open Sans" w:cs="Open Sans"/>
        </w:rPr>
      </w:pPr>
      <w:r w:rsidRPr="00A14568">
        <w:rPr>
          <w:rFonts w:ascii="Open Sans" w:hAnsi="Open Sans" w:cs="Open Sans"/>
          <w:b/>
          <w:bCs/>
          <w:color w:val="FFC000"/>
          <w:sz w:val="28"/>
          <w:szCs w:val="28"/>
        </w:rPr>
        <w:t xml:space="preserve">RECOMMENDATION </w:t>
      </w:r>
      <w:r w:rsidR="009033D5" w:rsidRPr="00A14568">
        <w:rPr>
          <w:rFonts w:ascii="Open Sans" w:hAnsi="Open Sans" w:cs="Open Sans"/>
          <w:b/>
          <w:bCs/>
          <w:color w:val="FFC000"/>
          <w:sz w:val="28"/>
          <w:szCs w:val="28"/>
        </w:rPr>
        <w:t>5</w:t>
      </w:r>
      <w:r w:rsidR="00A14568">
        <w:rPr>
          <w:rFonts w:ascii="Open Sans" w:hAnsi="Open Sans" w:cs="Open Sans"/>
        </w:rPr>
        <w:br/>
      </w:r>
      <w:r w:rsidR="00B93B15" w:rsidRPr="00A14568">
        <w:rPr>
          <w:rFonts w:ascii="Open Sans" w:hAnsi="Open Sans" w:cs="Open Sans"/>
          <w:b/>
          <w:bCs/>
          <w:sz w:val="28"/>
          <w:szCs w:val="28"/>
        </w:rPr>
        <w:t>Labour Market and Talent</w:t>
      </w:r>
    </w:p>
    <w:p w14:paraId="71EC7701" w14:textId="7DCF6613" w:rsidR="009033D5" w:rsidRPr="00B93B15" w:rsidRDefault="00B93B15" w:rsidP="000D0DB0">
      <w:pPr>
        <w:rPr>
          <w:i/>
          <w:iCs/>
        </w:rPr>
      </w:pPr>
      <w:r w:rsidRPr="00B93B15">
        <w:rPr>
          <w:i/>
          <w:iCs/>
        </w:rPr>
        <w:t>Strengthen the domestic ICT sector through competitive working conditions, reskilling, and active measures to increase workforce diversity</w:t>
      </w:r>
      <w:r w:rsidR="00642F7F" w:rsidRPr="00B93B15">
        <w:rPr>
          <w:i/>
          <w:iCs/>
        </w:rPr>
        <w:t>.</w:t>
      </w:r>
    </w:p>
    <w:p w14:paraId="1CE6B53D" w14:textId="77777777" w:rsidR="00B93B15" w:rsidRPr="00B93B15" w:rsidRDefault="00B93B15" w:rsidP="00642F7F">
      <w:pPr>
        <w:pStyle w:val="Odlomakpopisa"/>
        <w:numPr>
          <w:ilvl w:val="0"/>
          <w:numId w:val="28"/>
        </w:numPr>
      </w:pPr>
      <w:r w:rsidRPr="00B93B15">
        <w:t>Introduce a package of measures to retain digital talent: promoting STEM, strengthening domestic projects and the start-up ecosystem, and ensuring more competitive working conditions.</w:t>
      </w:r>
    </w:p>
    <w:p w14:paraId="6D6067FD" w14:textId="6DFD0E40" w:rsidR="00B93B15" w:rsidRPr="00B93B15" w:rsidRDefault="00B93B15" w:rsidP="00642F7F">
      <w:pPr>
        <w:pStyle w:val="Odlomakpopisa"/>
        <w:numPr>
          <w:ilvl w:val="0"/>
          <w:numId w:val="28"/>
        </w:numPr>
      </w:pPr>
      <w:r w:rsidRPr="00B93B15">
        <w:t>Develop tax and organizational incentives that increase the attractiveness of ICT careers in Croatia and systematically invest in reskilling without age discrimination.</w:t>
      </w:r>
    </w:p>
    <w:p w14:paraId="6E55A65D" w14:textId="77777777" w:rsidR="00B93B15" w:rsidRPr="00B93B15" w:rsidRDefault="00B93B15" w:rsidP="00642F7F">
      <w:pPr>
        <w:pStyle w:val="Odlomakpopisa"/>
        <w:numPr>
          <w:ilvl w:val="0"/>
          <w:numId w:val="28"/>
        </w:numPr>
      </w:pPr>
      <w:r w:rsidRPr="00B93B15">
        <w:t>Actively promote “equal opportunities in the digital world” through inclusive employment policies, mentoring, and increased visibility of women, persons with disabilities, and other vulnerable groups.</w:t>
      </w:r>
    </w:p>
    <w:p w14:paraId="642DC096" w14:textId="636CDE5D" w:rsidR="003105CC" w:rsidRDefault="00B93B15" w:rsidP="00642F7F">
      <w:pPr>
        <w:pStyle w:val="Odlomakpopisa"/>
        <w:numPr>
          <w:ilvl w:val="0"/>
          <w:numId w:val="28"/>
        </w:numPr>
      </w:pPr>
      <w:r w:rsidRPr="00B93B15">
        <w:t>Encourage employers to mentor and hire vulnerable groups through aligned adult education and training programs.</w:t>
      </w:r>
      <w:r w:rsidR="00AF05BF" w:rsidRPr="00B93B15">
        <w:br/>
      </w:r>
    </w:p>
    <w:p w14:paraId="3105116F" w14:textId="77777777" w:rsidR="000C3133" w:rsidRPr="00B93B15" w:rsidRDefault="000C3133" w:rsidP="000C3133"/>
    <w:tbl>
      <w:tblPr>
        <w:tblStyle w:val="Tablicapopisa2-isticanje2"/>
        <w:tblW w:w="0" w:type="auto"/>
        <w:tblLook w:val="04A0" w:firstRow="1" w:lastRow="0" w:firstColumn="1" w:lastColumn="0" w:noHBand="0" w:noVBand="1"/>
      </w:tblPr>
      <w:tblGrid>
        <w:gridCol w:w="9396"/>
      </w:tblGrid>
      <w:tr w:rsidR="003105CC" w:rsidRPr="00B93B15" w14:paraId="461AB734" w14:textId="77777777" w:rsidTr="000E0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1772FFAE" w14:textId="77777777" w:rsidR="000C3133" w:rsidRPr="000C3133" w:rsidRDefault="000C3133" w:rsidP="003105CC">
            <w:pPr>
              <w:jc w:val="both"/>
              <w:rPr>
                <w:b w:val="0"/>
                <w:bCs w:val="0"/>
                <w:sz w:val="12"/>
                <w:szCs w:val="12"/>
              </w:rPr>
            </w:pPr>
          </w:p>
          <w:p w14:paraId="29E4DC1C" w14:textId="79CF0EAD" w:rsidR="003105CC" w:rsidRPr="00B93B15" w:rsidRDefault="003105CC" w:rsidP="003105CC">
            <w:pPr>
              <w:jc w:val="both"/>
              <w:rPr>
                <w:b w:val="0"/>
                <w:bCs w:val="0"/>
              </w:rPr>
            </w:pPr>
            <w:r w:rsidRPr="00B93B15">
              <w:t>Pri</w:t>
            </w:r>
            <w:r w:rsidR="00B93B15" w:rsidRPr="00B93B15">
              <w:t>mary implementing bodies</w:t>
            </w:r>
          </w:p>
          <w:p w14:paraId="1B26BF8F" w14:textId="77777777" w:rsidR="003105CC" w:rsidRPr="00B93B15" w:rsidRDefault="003105CC" w:rsidP="003105CC">
            <w:pPr>
              <w:jc w:val="both"/>
              <w:rPr>
                <w:sz w:val="8"/>
                <w:szCs w:val="8"/>
              </w:rPr>
            </w:pPr>
          </w:p>
          <w:p w14:paraId="0AB12F1A" w14:textId="77777777" w:rsidR="00B93B15" w:rsidRPr="000E0273" w:rsidRDefault="00B93B15" w:rsidP="000545C5">
            <w:pPr>
              <w:pStyle w:val="Odlomakpopisa"/>
              <w:numPr>
                <w:ilvl w:val="0"/>
                <w:numId w:val="34"/>
              </w:numPr>
              <w:rPr>
                <w:b w:val="0"/>
                <w:bCs w:val="0"/>
              </w:rPr>
            </w:pPr>
            <w:r w:rsidRPr="000E0273">
              <w:rPr>
                <w:b w:val="0"/>
                <w:bCs w:val="0"/>
              </w:rPr>
              <w:t>Education reform: Ministry of Science, Education and Youth, schools and CARNET (Croatian Academic and Research Network), with the support of local and regional self-government units.</w:t>
            </w:r>
          </w:p>
          <w:p w14:paraId="0E649A62" w14:textId="77777777" w:rsidR="00B93B15" w:rsidRPr="000E0273" w:rsidRDefault="00B93B15" w:rsidP="000545C5">
            <w:pPr>
              <w:pStyle w:val="Odlomakpopisa"/>
              <w:numPr>
                <w:ilvl w:val="0"/>
                <w:numId w:val="34"/>
              </w:numPr>
              <w:rPr>
                <w:b w:val="0"/>
                <w:bCs w:val="0"/>
              </w:rPr>
            </w:pPr>
            <w:r w:rsidRPr="000E0273">
              <w:rPr>
                <w:b w:val="0"/>
                <w:bCs w:val="0"/>
              </w:rPr>
              <w:t>Lifelong learning, inclusion and local support: Local and regional self-government units, libraries, associations, and educational and public institutions.</w:t>
            </w:r>
          </w:p>
          <w:p w14:paraId="32C573D1" w14:textId="77777777" w:rsidR="00B93B15" w:rsidRPr="000E0273" w:rsidRDefault="00B93B15" w:rsidP="000545C5">
            <w:pPr>
              <w:pStyle w:val="Odlomakpopisa"/>
              <w:numPr>
                <w:ilvl w:val="0"/>
                <w:numId w:val="34"/>
              </w:numPr>
              <w:rPr>
                <w:b w:val="0"/>
                <w:bCs w:val="0"/>
              </w:rPr>
            </w:pPr>
            <w:r w:rsidRPr="000E0273">
              <w:rPr>
                <w:b w:val="0"/>
                <w:bCs w:val="0"/>
              </w:rPr>
              <w:t>Infrastructure and access: National authorities responsible for digitalization and regional development, local and regional self-government units, telecom operators, with the support of EU funds.</w:t>
            </w:r>
          </w:p>
          <w:p w14:paraId="1B51B103" w14:textId="77777777" w:rsidR="00B93B15" w:rsidRPr="000E0273" w:rsidRDefault="00B93B15" w:rsidP="000545C5">
            <w:pPr>
              <w:pStyle w:val="Odlomakpopisa"/>
              <w:numPr>
                <w:ilvl w:val="0"/>
                <w:numId w:val="34"/>
              </w:numPr>
              <w:rPr>
                <w:b w:val="0"/>
                <w:bCs w:val="0"/>
              </w:rPr>
            </w:pPr>
            <w:r w:rsidRPr="000E0273">
              <w:rPr>
                <w:b w:val="0"/>
                <w:bCs w:val="0"/>
              </w:rPr>
              <w:t>Design of public e-services, trust and security: Public administration bodies and national authorities responsible for digitalization, with expert support from data protection authorities (AZOP – Personal Data Protection Agency).</w:t>
            </w:r>
          </w:p>
          <w:p w14:paraId="69BECB9B" w14:textId="77777777" w:rsidR="00B93B15" w:rsidRPr="000E0273" w:rsidRDefault="00B93B15" w:rsidP="000545C5">
            <w:pPr>
              <w:pStyle w:val="Odlomakpopisa"/>
              <w:numPr>
                <w:ilvl w:val="0"/>
                <w:numId w:val="34"/>
              </w:numPr>
              <w:rPr>
                <w:b w:val="0"/>
                <w:bCs w:val="0"/>
              </w:rPr>
            </w:pPr>
            <w:r w:rsidRPr="000E0273">
              <w:rPr>
                <w:b w:val="0"/>
                <w:bCs w:val="0"/>
              </w:rPr>
              <w:t>Labour market and talent: Ministries responsible for labour and education, employers, trade unions, higher education institutions, and professional associations.</w:t>
            </w:r>
          </w:p>
          <w:p w14:paraId="67CD3297" w14:textId="3D55B01A" w:rsidR="000C3133" w:rsidRPr="000C3133" w:rsidRDefault="000C3133" w:rsidP="000C3133">
            <w:pPr>
              <w:pStyle w:val="Odlomakpopisa"/>
              <w:jc w:val="both"/>
              <w:rPr>
                <w:sz w:val="14"/>
                <w:szCs w:val="14"/>
              </w:rPr>
            </w:pPr>
          </w:p>
        </w:tc>
      </w:tr>
    </w:tbl>
    <w:p w14:paraId="63D29B9C" w14:textId="77777777" w:rsidR="000F17DD" w:rsidRPr="00B93B15" w:rsidRDefault="000F17DD" w:rsidP="002C7680">
      <w:pPr>
        <w:jc w:val="both"/>
        <w:rPr>
          <w:b/>
          <w:bCs/>
          <w:sz w:val="28"/>
          <w:szCs w:val="28"/>
        </w:rPr>
      </w:pPr>
    </w:p>
    <w:p w14:paraId="682AC62D" w14:textId="550DA630" w:rsidR="002C7680" w:rsidRPr="000E0273" w:rsidRDefault="00B93B15" w:rsidP="002C7680">
      <w:pPr>
        <w:jc w:val="both"/>
        <w:rPr>
          <w:rFonts w:ascii="Open Sans" w:hAnsi="Open Sans" w:cs="Open Sans"/>
          <w:b/>
          <w:bCs/>
          <w:sz w:val="28"/>
          <w:szCs w:val="28"/>
        </w:rPr>
      </w:pPr>
      <w:r w:rsidRPr="000E0273">
        <w:rPr>
          <w:rFonts w:ascii="Open Sans" w:hAnsi="Open Sans" w:cs="Open Sans"/>
          <w:b/>
          <w:bCs/>
          <w:sz w:val="28"/>
          <w:szCs w:val="28"/>
        </w:rPr>
        <w:t>Conclusion</w:t>
      </w:r>
      <w:r w:rsidR="002C7680" w:rsidRPr="000E0273">
        <w:rPr>
          <w:rFonts w:ascii="Open Sans" w:hAnsi="Open Sans" w:cs="Open Sans"/>
          <w:b/>
          <w:bCs/>
          <w:sz w:val="28"/>
          <w:szCs w:val="28"/>
        </w:rPr>
        <w:t xml:space="preserve"> </w:t>
      </w:r>
    </w:p>
    <w:p w14:paraId="0768FB1E" w14:textId="77777777" w:rsidR="00B93B15" w:rsidRPr="00B93B15" w:rsidRDefault="00B93B15" w:rsidP="00B93B15">
      <w:pPr>
        <w:jc w:val="both"/>
      </w:pPr>
      <w:r w:rsidRPr="00B93B15">
        <w:t>These recommendations show that citizens clearly recognize where the digital divide arises and what can reduce it most quickly: strengthening digital competences through the education system, practical learning focused on everyday e-services, and accessible local support, especially for older and vulnerable groups. The high ranking of votes further confirms that mandatory learning outcomes in schools, modernization of teaching methods, digital mentor programs, and simpler design of public e-services are key measures for inclusive digitalization. At the same time, citizens emphasize that without access to affordable internet and devices—especially in rural areas—there can be no real equality in the digital society.</w:t>
      </w:r>
    </w:p>
    <w:p w14:paraId="61765E60" w14:textId="77777777" w:rsidR="00B93B15" w:rsidRPr="00B93B15" w:rsidRDefault="00B93B15" w:rsidP="00B93B15">
      <w:pPr>
        <w:jc w:val="both"/>
      </w:pPr>
      <w:r w:rsidRPr="00B93B15">
        <w:t>In line with the above, we recommend an integrated approach that encompasses education reform, lifelong learning and inclusion, infrastructure and access, user-friendly and secure e-services, and measures to retain and develop ICT talent—five key recommendations for inclusive digitalization.</w:t>
      </w:r>
    </w:p>
    <w:p w14:paraId="7756C0AC" w14:textId="159AA001" w:rsidR="002C7680" w:rsidRPr="00660846" w:rsidRDefault="002C7680" w:rsidP="002C7680">
      <w:pPr>
        <w:jc w:val="both"/>
      </w:pPr>
    </w:p>
    <w:sectPr w:rsidR="002C7680" w:rsidRPr="00660846" w:rsidSect="00660846">
      <w:footerReference w:type="default" r:id="rId15"/>
      <w:pgSz w:w="12240" w:h="15840"/>
      <w:pgMar w:top="1418"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468D" w14:textId="77777777" w:rsidR="00651B13" w:rsidRPr="00B93B15" w:rsidRDefault="00651B13" w:rsidP="009348D5">
      <w:pPr>
        <w:spacing w:after="0" w:line="240" w:lineRule="auto"/>
      </w:pPr>
      <w:r w:rsidRPr="00B93B15">
        <w:separator/>
      </w:r>
    </w:p>
  </w:endnote>
  <w:endnote w:type="continuationSeparator" w:id="0">
    <w:p w14:paraId="699880CE" w14:textId="77777777" w:rsidR="00651B13" w:rsidRPr="00B93B15" w:rsidRDefault="00651B13" w:rsidP="009348D5">
      <w:pPr>
        <w:spacing w:after="0" w:line="240" w:lineRule="auto"/>
      </w:pPr>
      <w:r w:rsidRPr="00B93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558163"/>
      <w:docPartObj>
        <w:docPartGallery w:val="Page Numbers (Bottom of Page)"/>
        <w:docPartUnique/>
      </w:docPartObj>
    </w:sdtPr>
    <w:sdtEndPr/>
    <w:sdtContent>
      <w:p w14:paraId="3E4F3578" w14:textId="4E064B13" w:rsidR="009348D5" w:rsidRPr="00B93B15" w:rsidRDefault="009348D5">
        <w:pPr>
          <w:pStyle w:val="Podnoje"/>
          <w:jc w:val="right"/>
        </w:pPr>
        <w:r w:rsidRPr="00B93B15">
          <w:fldChar w:fldCharType="begin"/>
        </w:r>
        <w:r w:rsidRPr="00B93B15">
          <w:instrText>PAGE   \* MERGEFORMAT</w:instrText>
        </w:r>
        <w:r w:rsidRPr="00B93B15">
          <w:fldChar w:fldCharType="separate"/>
        </w:r>
        <w:r w:rsidR="00F42737" w:rsidRPr="00B93B15">
          <w:t>1</w:t>
        </w:r>
        <w:r w:rsidRPr="00B93B15">
          <w:fldChar w:fldCharType="end"/>
        </w:r>
      </w:p>
    </w:sdtContent>
  </w:sdt>
  <w:p w14:paraId="4BC4A9FA" w14:textId="48114089" w:rsidR="009348D5" w:rsidRPr="00B93B15" w:rsidRDefault="009348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807F" w14:textId="77777777" w:rsidR="00651B13" w:rsidRPr="00B93B15" w:rsidRDefault="00651B13" w:rsidP="009348D5">
      <w:pPr>
        <w:spacing w:after="0" w:line="240" w:lineRule="auto"/>
      </w:pPr>
      <w:r w:rsidRPr="00B93B15">
        <w:separator/>
      </w:r>
    </w:p>
  </w:footnote>
  <w:footnote w:type="continuationSeparator" w:id="0">
    <w:p w14:paraId="351A2632" w14:textId="77777777" w:rsidR="00651B13" w:rsidRPr="00B93B15" w:rsidRDefault="00651B13" w:rsidP="009348D5">
      <w:pPr>
        <w:spacing w:after="0" w:line="240" w:lineRule="auto"/>
      </w:pPr>
      <w:r w:rsidRPr="00B93B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A54"/>
    <w:multiLevelType w:val="hybridMultilevel"/>
    <w:tmpl w:val="E0C6C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B25BC2"/>
    <w:multiLevelType w:val="hybridMultilevel"/>
    <w:tmpl w:val="F488B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FE498F"/>
    <w:multiLevelType w:val="hybridMultilevel"/>
    <w:tmpl w:val="567C4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AB629A"/>
    <w:multiLevelType w:val="hybridMultilevel"/>
    <w:tmpl w:val="DCC8A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69217B"/>
    <w:multiLevelType w:val="multilevel"/>
    <w:tmpl w:val="415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874D9"/>
    <w:multiLevelType w:val="hybridMultilevel"/>
    <w:tmpl w:val="5D9A3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22329F"/>
    <w:multiLevelType w:val="hybridMultilevel"/>
    <w:tmpl w:val="701A1C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2E1545"/>
    <w:multiLevelType w:val="hybridMultilevel"/>
    <w:tmpl w:val="5AC0DC44"/>
    <w:lvl w:ilvl="0" w:tplc="42042888">
      <w:numFmt w:val="bullet"/>
      <w:lvlText w:val="•"/>
      <w:lvlJc w:val="left"/>
      <w:pPr>
        <w:ind w:left="1080" w:hanging="72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105F45"/>
    <w:multiLevelType w:val="hybridMultilevel"/>
    <w:tmpl w:val="6A468F40"/>
    <w:lvl w:ilvl="0" w:tplc="42042888">
      <w:numFmt w:val="bullet"/>
      <w:lvlText w:val="•"/>
      <w:lvlJc w:val="left"/>
      <w:pPr>
        <w:ind w:left="1080" w:hanging="72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A4D7902"/>
    <w:multiLevelType w:val="multilevel"/>
    <w:tmpl w:val="4004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C0664"/>
    <w:multiLevelType w:val="hybridMultilevel"/>
    <w:tmpl w:val="D2AA6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4065CC"/>
    <w:multiLevelType w:val="multilevel"/>
    <w:tmpl w:val="0B8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F0893"/>
    <w:multiLevelType w:val="hybridMultilevel"/>
    <w:tmpl w:val="598CE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F1134D"/>
    <w:multiLevelType w:val="hybridMultilevel"/>
    <w:tmpl w:val="6624DB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B81457"/>
    <w:multiLevelType w:val="multilevel"/>
    <w:tmpl w:val="02B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E48F6"/>
    <w:multiLevelType w:val="multilevel"/>
    <w:tmpl w:val="A3B0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84A4B"/>
    <w:multiLevelType w:val="multilevel"/>
    <w:tmpl w:val="D81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31417"/>
    <w:multiLevelType w:val="hybridMultilevel"/>
    <w:tmpl w:val="B24C8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3A60801"/>
    <w:multiLevelType w:val="multilevel"/>
    <w:tmpl w:val="800A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6027F"/>
    <w:multiLevelType w:val="multilevel"/>
    <w:tmpl w:val="F2A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143A4"/>
    <w:multiLevelType w:val="multilevel"/>
    <w:tmpl w:val="62527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23198"/>
    <w:multiLevelType w:val="multilevel"/>
    <w:tmpl w:val="BEA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50057"/>
    <w:multiLevelType w:val="hybridMultilevel"/>
    <w:tmpl w:val="662ADA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C56103"/>
    <w:multiLevelType w:val="hybridMultilevel"/>
    <w:tmpl w:val="137497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BB06FA"/>
    <w:multiLevelType w:val="hybridMultilevel"/>
    <w:tmpl w:val="C9BE07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4413E5"/>
    <w:multiLevelType w:val="hybridMultilevel"/>
    <w:tmpl w:val="B40269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DB1B6D"/>
    <w:multiLevelType w:val="hybridMultilevel"/>
    <w:tmpl w:val="A6F20A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327C28"/>
    <w:multiLevelType w:val="hybridMultilevel"/>
    <w:tmpl w:val="9CA4EA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643330"/>
    <w:multiLevelType w:val="multilevel"/>
    <w:tmpl w:val="19A055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527F44"/>
    <w:multiLevelType w:val="multilevel"/>
    <w:tmpl w:val="4074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8D2C1B"/>
    <w:multiLevelType w:val="hybridMultilevel"/>
    <w:tmpl w:val="9B6E5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6D1398"/>
    <w:multiLevelType w:val="multilevel"/>
    <w:tmpl w:val="C53E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E39D7"/>
    <w:multiLevelType w:val="hybridMultilevel"/>
    <w:tmpl w:val="340AB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984A0D"/>
    <w:multiLevelType w:val="hybridMultilevel"/>
    <w:tmpl w:val="17E2BD1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6324DD"/>
    <w:multiLevelType w:val="hybridMultilevel"/>
    <w:tmpl w:val="C07AB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EF70BE8"/>
    <w:multiLevelType w:val="hybridMultilevel"/>
    <w:tmpl w:val="EA241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90628885">
    <w:abstractNumId w:val="4"/>
  </w:num>
  <w:num w:numId="2" w16cid:durableId="82803181">
    <w:abstractNumId w:val="28"/>
  </w:num>
  <w:num w:numId="3" w16cid:durableId="1967008128">
    <w:abstractNumId w:val="15"/>
  </w:num>
  <w:num w:numId="4" w16cid:durableId="988090458">
    <w:abstractNumId w:val="19"/>
  </w:num>
  <w:num w:numId="5" w16cid:durableId="2098137425">
    <w:abstractNumId w:val="20"/>
  </w:num>
  <w:num w:numId="6" w16cid:durableId="1758821277">
    <w:abstractNumId w:val="18"/>
  </w:num>
  <w:num w:numId="7" w16cid:durableId="27144649">
    <w:abstractNumId w:val="14"/>
  </w:num>
  <w:num w:numId="8" w16cid:durableId="1136027438">
    <w:abstractNumId w:val="31"/>
  </w:num>
  <w:num w:numId="9" w16cid:durableId="1726568254">
    <w:abstractNumId w:val="9"/>
  </w:num>
  <w:num w:numId="10" w16cid:durableId="1186673543">
    <w:abstractNumId w:val="34"/>
  </w:num>
  <w:num w:numId="11" w16cid:durableId="471408672">
    <w:abstractNumId w:val="7"/>
  </w:num>
  <w:num w:numId="12" w16cid:durableId="511645352">
    <w:abstractNumId w:val="8"/>
  </w:num>
  <w:num w:numId="13" w16cid:durableId="1857767196">
    <w:abstractNumId w:val="11"/>
  </w:num>
  <w:num w:numId="14" w16cid:durableId="1535656174">
    <w:abstractNumId w:val="17"/>
  </w:num>
  <w:num w:numId="15" w16cid:durableId="1660381396">
    <w:abstractNumId w:val="22"/>
  </w:num>
  <w:num w:numId="16" w16cid:durableId="858011093">
    <w:abstractNumId w:val="3"/>
  </w:num>
  <w:num w:numId="17" w16cid:durableId="305010886">
    <w:abstractNumId w:val="33"/>
  </w:num>
  <w:num w:numId="18" w16cid:durableId="964312865">
    <w:abstractNumId w:val="13"/>
  </w:num>
  <w:num w:numId="19" w16cid:durableId="1105270755">
    <w:abstractNumId w:val="29"/>
  </w:num>
  <w:num w:numId="20" w16cid:durableId="925071455">
    <w:abstractNumId w:val="16"/>
  </w:num>
  <w:num w:numId="21" w16cid:durableId="941843158">
    <w:abstractNumId w:val="0"/>
  </w:num>
  <w:num w:numId="22" w16cid:durableId="1572806916">
    <w:abstractNumId w:val="2"/>
  </w:num>
  <w:num w:numId="23" w16cid:durableId="1339311425">
    <w:abstractNumId w:val="5"/>
  </w:num>
  <w:num w:numId="24" w16cid:durableId="1060321074">
    <w:abstractNumId w:val="23"/>
  </w:num>
  <w:num w:numId="25" w16cid:durableId="1522478268">
    <w:abstractNumId w:val="35"/>
  </w:num>
  <w:num w:numId="26" w16cid:durableId="1360739419">
    <w:abstractNumId w:val="6"/>
  </w:num>
  <w:num w:numId="27" w16cid:durableId="1170020364">
    <w:abstractNumId w:val="32"/>
  </w:num>
  <w:num w:numId="28" w16cid:durableId="1614508251">
    <w:abstractNumId w:val="27"/>
  </w:num>
  <w:num w:numId="29" w16cid:durableId="194198911">
    <w:abstractNumId w:val="26"/>
  </w:num>
  <w:num w:numId="30" w16cid:durableId="985738755">
    <w:abstractNumId w:val="1"/>
  </w:num>
  <w:num w:numId="31" w16cid:durableId="2114393377">
    <w:abstractNumId w:val="21"/>
  </w:num>
  <w:num w:numId="32" w16cid:durableId="528956187">
    <w:abstractNumId w:val="10"/>
  </w:num>
  <w:num w:numId="33" w16cid:durableId="1031885045">
    <w:abstractNumId w:val="24"/>
  </w:num>
  <w:num w:numId="34" w16cid:durableId="2060669151">
    <w:abstractNumId w:val="25"/>
  </w:num>
  <w:num w:numId="35" w16cid:durableId="1274551161">
    <w:abstractNumId w:val="12"/>
  </w:num>
  <w:num w:numId="36" w16cid:durableId="18745365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B9"/>
    <w:rsid w:val="000147F9"/>
    <w:rsid w:val="00015B96"/>
    <w:rsid w:val="00030961"/>
    <w:rsid w:val="000545C5"/>
    <w:rsid w:val="000C3133"/>
    <w:rsid w:val="000D0DB0"/>
    <w:rsid w:val="000D1574"/>
    <w:rsid w:val="000E0273"/>
    <w:rsid w:val="000F04B0"/>
    <w:rsid w:val="000F17DD"/>
    <w:rsid w:val="000F7C4E"/>
    <w:rsid w:val="000F7D24"/>
    <w:rsid w:val="00115F63"/>
    <w:rsid w:val="001418AC"/>
    <w:rsid w:val="00160D22"/>
    <w:rsid w:val="00161D28"/>
    <w:rsid w:val="0017526F"/>
    <w:rsid w:val="0018609C"/>
    <w:rsid w:val="001B7F41"/>
    <w:rsid w:val="001C5A07"/>
    <w:rsid w:val="001F19D5"/>
    <w:rsid w:val="0021374C"/>
    <w:rsid w:val="00216498"/>
    <w:rsid w:val="002168EC"/>
    <w:rsid w:val="002C7680"/>
    <w:rsid w:val="002F14B9"/>
    <w:rsid w:val="003105CC"/>
    <w:rsid w:val="00355750"/>
    <w:rsid w:val="003A5EB6"/>
    <w:rsid w:val="003B2DE0"/>
    <w:rsid w:val="00433901"/>
    <w:rsid w:val="0045434A"/>
    <w:rsid w:val="00461ADD"/>
    <w:rsid w:val="00463FF8"/>
    <w:rsid w:val="00490416"/>
    <w:rsid w:val="004F4EE4"/>
    <w:rsid w:val="0053618B"/>
    <w:rsid w:val="005B33B2"/>
    <w:rsid w:val="00642F7F"/>
    <w:rsid w:val="00651951"/>
    <w:rsid w:val="00651B13"/>
    <w:rsid w:val="00660846"/>
    <w:rsid w:val="00667D16"/>
    <w:rsid w:val="006C2F0F"/>
    <w:rsid w:val="006D1B86"/>
    <w:rsid w:val="006E1102"/>
    <w:rsid w:val="006F13F5"/>
    <w:rsid w:val="0074142D"/>
    <w:rsid w:val="0075650E"/>
    <w:rsid w:val="007864E1"/>
    <w:rsid w:val="007F1C90"/>
    <w:rsid w:val="008135C1"/>
    <w:rsid w:val="00836113"/>
    <w:rsid w:val="0085254C"/>
    <w:rsid w:val="0087580B"/>
    <w:rsid w:val="00876BC9"/>
    <w:rsid w:val="008F1824"/>
    <w:rsid w:val="009033D5"/>
    <w:rsid w:val="00915C4C"/>
    <w:rsid w:val="009348D5"/>
    <w:rsid w:val="00951490"/>
    <w:rsid w:val="00953E0F"/>
    <w:rsid w:val="00985B95"/>
    <w:rsid w:val="00A00DDC"/>
    <w:rsid w:val="00A11C20"/>
    <w:rsid w:val="00A14568"/>
    <w:rsid w:val="00A53C6D"/>
    <w:rsid w:val="00AC5404"/>
    <w:rsid w:val="00AF05BF"/>
    <w:rsid w:val="00B34C73"/>
    <w:rsid w:val="00B72533"/>
    <w:rsid w:val="00B82319"/>
    <w:rsid w:val="00B93B15"/>
    <w:rsid w:val="00C35CF0"/>
    <w:rsid w:val="00C67E0B"/>
    <w:rsid w:val="00CB332D"/>
    <w:rsid w:val="00CF33E0"/>
    <w:rsid w:val="00D22E3F"/>
    <w:rsid w:val="00D53122"/>
    <w:rsid w:val="00D801AE"/>
    <w:rsid w:val="00DA17B2"/>
    <w:rsid w:val="00DB7581"/>
    <w:rsid w:val="00E442C1"/>
    <w:rsid w:val="00E50555"/>
    <w:rsid w:val="00E52A67"/>
    <w:rsid w:val="00F372FD"/>
    <w:rsid w:val="00F42737"/>
    <w:rsid w:val="00FA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000"/>
  <w15:chartTrackingRefBased/>
  <w15:docId w15:val="{A5C9096E-5F57-45E4-BC44-AF2BF745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B0"/>
    <w:rPr>
      <w:lang w:val="en-GB"/>
    </w:rPr>
  </w:style>
  <w:style w:type="paragraph" w:styleId="Naslov1">
    <w:name w:val="heading 1"/>
    <w:basedOn w:val="Normal"/>
    <w:next w:val="Normal"/>
    <w:link w:val="Naslov1Char"/>
    <w:uiPriority w:val="9"/>
    <w:qFormat/>
    <w:rsid w:val="002F1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F1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F14B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F14B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F14B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F14B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F14B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F14B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F14B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F14B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F14B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F14B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F14B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F14B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F14B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F14B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F14B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F14B9"/>
    <w:rPr>
      <w:rFonts w:eastAsiaTheme="majorEastAsia" w:cstheme="majorBidi"/>
      <w:color w:val="272727" w:themeColor="text1" w:themeTint="D8"/>
    </w:rPr>
  </w:style>
  <w:style w:type="paragraph" w:styleId="Naslov">
    <w:name w:val="Title"/>
    <w:basedOn w:val="Normal"/>
    <w:next w:val="Normal"/>
    <w:link w:val="NaslovChar"/>
    <w:uiPriority w:val="10"/>
    <w:qFormat/>
    <w:rsid w:val="002F1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F14B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F14B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F14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14B9"/>
    <w:pPr>
      <w:spacing w:before="160"/>
      <w:jc w:val="center"/>
    </w:pPr>
    <w:rPr>
      <w:i/>
      <w:iCs/>
      <w:color w:val="404040" w:themeColor="text1" w:themeTint="BF"/>
    </w:rPr>
  </w:style>
  <w:style w:type="character" w:customStyle="1" w:styleId="CitatChar">
    <w:name w:val="Citat Char"/>
    <w:basedOn w:val="Zadanifontodlomka"/>
    <w:link w:val="Citat"/>
    <w:uiPriority w:val="29"/>
    <w:rsid w:val="002F14B9"/>
    <w:rPr>
      <w:i/>
      <w:iCs/>
      <w:color w:val="404040" w:themeColor="text1" w:themeTint="BF"/>
    </w:rPr>
  </w:style>
  <w:style w:type="paragraph" w:styleId="Odlomakpopisa">
    <w:name w:val="List Paragraph"/>
    <w:basedOn w:val="Normal"/>
    <w:uiPriority w:val="34"/>
    <w:qFormat/>
    <w:rsid w:val="002F14B9"/>
    <w:pPr>
      <w:ind w:left="720"/>
      <w:contextualSpacing/>
    </w:pPr>
  </w:style>
  <w:style w:type="character" w:styleId="Jakoisticanje">
    <w:name w:val="Intense Emphasis"/>
    <w:basedOn w:val="Zadanifontodlomka"/>
    <w:uiPriority w:val="21"/>
    <w:qFormat/>
    <w:rsid w:val="002F14B9"/>
    <w:rPr>
      <w:i/>
      <w:iCs/>
      <w:color w:val="0F4761" w:themeColor="accent1" w:themeShade="BF"/>
    </w:rPr>
  </w:style>
  <w:style w:type="paragraph" w:styleId="Naglaencitat">
    <w:name w:val="Intense Quote"/>
    <w:basedOn w:val="Normal"/>
    <w:next w:val="Normal"/>
    <w:link w:val="NaglaencitatChar"/>
    <w:uiPriority w:val="30"/>
    <w:qFormat/>
    <w:rsid w:val="002F1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F14B9"/>
    <w:rPr>
      <w:i/>
      <w:iCs/>
      <w:color w:val="0F4761" w:themeColor="accent1" w:themeShade="BF"/>
    </w:rPr>
  </w:style>
  <w:style w:type="character" w:styleId="Istaknutareferenca">
    <w:name w:val="Intense Reference"/>
    <w:basedOn w:val="Zadanifontodlomka"/>
    <w:uiPriority w:val="32"/>
    <w:qFormat/>
    <w:rsid w:val="002F14B9"/>
    <w:rPr>
      <w:b/>
      <w:bCs/>
      <w:smallCaps/>
      <w:color w:val="0F4761" w:themeColor="accent1" w:themeShade="BF"/>
      <w:spacing w:val="5"/>
    </w:rPr>
  </w:style>
  <w:style w:type="paragraph" w:styleId="Zaglavlje">
    <w:name w:val="header"/>
    <w:basedOn w:val="Normal"/>
    <w:link w:val="ZaglavljeChar"/>
    <w:uiPriority w:val="99"/>
    <w:unhideWhenUsed/>
    <w:rsid w:val="009348D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48D5"/>
  </w:style>
  <w:style w:type="paragraph" w:styleId="Podnoje">
    <w:name w:val="footer"/>
    <w:basedOn w:val="Normal"/>
    <w:link w:val="PodnojeChar"/>
    <w:uiPriority w:val="99"/>
    <w:unhideWhenUsed/>
    <w:rsid w:val="009348D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48D5"/>
  </w:style>
  <w:style w:type="paragraph" w:styleId="StandardWeb">
    <w:name w:val="Normal (Web)"/>
    <w:basedOn w:val="Normal"/>
    <w:uiPriority w:val="99"/>
    <w:semiHidden/>
    <w:unhideWhenUsed/>
    <w:rsid w:val="009033D5"/>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9033D5"/>
    <w:rPr>
      <w:b/>
      <w:bCs/>
    </w:rPr>
  </w:style>
  <w:style w:type="character" w:customStyle="1" w:styleId="relative">
    <w:name w:val="relative"/>
    <w:basedOn w:val="Zadanifontodlomka"/>
    <w:rsid w:val="009033D5"/>
  </w:style>
  <w:style w:type="paragraph" w:customStyle="1" w:styleId="not-prose">
    <w:name w:val="not-prose"/>
    <w:basedOn w:val="Normal"/>
    <w:rsid w:val="009033D5"/>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styleId="Reetkatablice">
    <w:name w:val="Table Grid"/>
    <w:basedOn w:val="Obinatablica"/>
    <w:uiPriority w:val="39"/>
    <w:rsid w:val="0031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A5EB6"/>
    <w:rPr>
      <w:sz w:val="16"/>
      <w:szCs w:val="16"/>
    </w:rPr>
  </w:style>
  <w:style w:type="paragraph" w:styleId="Tekstkomentara">
    <w:name w:val="annotation text"/>
    <w:basedOn w:val="Normal"/>
    <w:link w:val="TekstkomentaraChar"/>
    <w:uiPriority w:val="99"/>
    <w:semiHidden/>
    <w:unhideWhenUsed/>
    <w:rsid w:val="003A5EB6"/>
    <w:pPr>
      <w:spacing w:line="240" w:lineRule="auto"/>
    </w:pPr>
    <w:rPr>
      <w:sz w:val="20"/>
      <w:szCs w:val="20"/>
    </w:rPr>
  </w:style>
  <w:style w:type="character" w:customStyle="1" w:styleId="TekstkomentaraChar">
    <w:name w:val="Tekst komentara Char"/>
    <w:basedOn w:val="Zadanifontodlomka"/>
    <w:link w:val="Tekstkomentara"/>
    <w:uiPriority w:val="99"/>
    <w:semiHidden/>
    <w:rsid w:val="003A5EB6"/>
    <w:rPr>
      <w:sz w:val="20"/>
      <w:szCs w:val="20"/>
    </w:rPr>
  </w:style>
  <w:style w:type="paragraph" w:styleId="Predmetkomentara">
    <w:name w:val="annotation subject"/>
    <w:basedOn w:val="Tekstkomentara"/>
    <w:next w:val="Tekstkomentara"/>
    <w:link w:val="PredmetkomentaraChar"/>
    <w:uiPriority w:val="99"/>
    <w:semiHidden/>
    <w:unhideWhenUsed/>
    <w:rsid w:val="003A5EB6"/>
    <w:rPr>
      <w:b/>
      <w:bCs/>
    </w:rPr>
  </w:style>
  <w:style w:type="character" w:customStyle="1" w:styleId="PredmetkomentaraChar">
    <w:name w:val="Predmet komentara Char"/>
    <w:basedOn w:val="TekstkomentaraChar"/>
    <w:link w:val="Predmetkomentara"/>
    <w:uiPriority w:val="99"/>
    <w:semiHidden/>
    <w:rsid w:val="003A5EB6"/>
    <w:rPr>
      <w:b/>
      <w:bCs/>
      <w:sz w:val="20"/>
      <w:szCs w:val="20"/>
    </w:rPr>
  </w:style>
  <w:style w:type="paragraph" w:styleId="Tekstbalonia">
    <w:name w:val="Balloon Text"/>
    <w:basedOn w:val="Normal"/>
    <w:link w:val="TekstbaloniaChar"/>
    <w:uiPriority w:val="99"/>
    <w:semiHidden/>
    <w:unhideWhenUsed/>
    <w:rsid w:val="003A5E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A5EB6"/>
    <w:rPr>
      <w:rFonts w:ascii="Segoe UI" w:hAnsi="Segoe UI" w:cs="Segoe UI"/>
      <w:sz w:val="18"/>
      <w:szCs w:val="18"/>
    </w:rPr>
  </w:style>
  <w:style w:type="paragraph" w:styleId="Revizija">
    <w:name w:val="Revision"/>
    <w:hidden/>
    <w:uiPriority w:val="99"/>
    <w:semiHidden/>
    <w:rsid w:val="00463FF8"/>
    <w:pPr>
      <w:spacing w:after="0" w:line="240" w:lineRule="auto"/>
    </w:pPr>
    <w:rPr>
      <w:lang w:val="hr-HR"/>
    </w:rPr>
  </w:style>
  <w:style w:type="table" w:styleId="Tablicapopisa2-isticanje2">
    <w:name w:val="List Table 2 Accent 2"/>
    <w:basedOn w:val="Obinatablica"/>
    <w:uiPriority w:val="47"/>
    <w:rsid w:val="000E02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21015B64204947A7E7911DEAA7AE7B" ma:contentTypeVersion="11" ma:contentTypeDescription="Create a new document." ma:contentTypeScope="" ma:versionID="f4ad99e83cd44bc04941e359ee3d3f78">
  <xsd:schema xmlns:xsd="http://www.w3.org/2001/XMLSchema" xmlns:xs="http://www.w3.org/2001/XMLSchema" xmlns:p="http://schemas.microsoft.com/office/2006/metadata/properties" xmlns:ns3="67eb70ed-2bb7-4d3c-ac6b-c68e49ebb395" targetNamespace="http://schemas.microsoft.com/office/2006/metadata/properties" ma:root="true" ma:fieldsID="2ce185ced07d8a9d3b6c41e1b86f628a" ns3:_="">
    <xsd:import namespace="67eb70ed-2bb7-4d3c-ac6b-c68e49ebb3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DateTaken" minOccurs="0"/>
                <xsd:element ref="ns3:MediaServiceSearchProperties" minOccurs="0"/>
                <xsd:element ref="ns3:_activity"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b70ed-2bb7-4d3c-ac6b-c68e49ebb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7eb70ed-2bb7-4d3c-ac6b-c68e49ebb395" xsi:nil="true"/>
  </documentManagement>
</p:properties>
</file>

<file path=customXml/itemProps1.xml><?xml version="1.0" encoding="utf-8"?>
<ds:datastoreItem xmlns:ds="http://schemas.openxmlformats.org/officeDocument/2006/customXml" ds:itemID="{D912B5B3-884E-4C4B-B03C-B53412CC6478}">
  <ds:schemaRefs>
    <ds:schemaRef ds:uri="http://schemas.microsoft.com/sharepoint/v3/contenttype/forms"/>
  </ds:schemaRefs>
</ds:datastoreItem>
</file>

<file path=customXml/itemProps2.xml><?xml version="1.0" encoding="utf-8"?>
<ds:datastoreItem xmlns:ds="http://schemas.openxmlformats.org/officeDocument/2006/customXml" ds:itemID="{D117B74D-3AB3-48D6-A42F-72D8F8D89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b70ed-2bb7-4d3c-ac6b-c68e49ebb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DD00D-640F-4C20-9A21-75D786F2280B}">
  <ds:schemaRefs>
    <ds:schemaRef ds:uri="http://schemas.openxmlformats.org/officeDocument/2006/bibliography"/>
  </ds:schemaRefs>
</ds:datastoreItem>
</file>

<file path=customXml/itemProps4.xml><?xml version="1.0" encoding="utf-8"?>
<ds:datastoreItem xmlns:ds="http://schemas.openxmlformats.org/officeDocument/2006/customXml" ds:itemID="{3AF90D6A-C836-474C-847E-5C87DF74F8FB}">
  <ds:schemaRefs>
    <ds:schemaRef ds:uri="http://schemas.microsoft.com/office/2006/metadata/properties"/>
    <ds:schemaRef ds:uri="http://schemas.microsoft.com/office/infopath/2007/PartnerControls"/>
    <ds:schemaRef ds:uri="67eb70ed-2bb7-4d3c-ac6b-c68e49ebb39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1911</Words>
  <Characters>10898</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Vorberger (ODRAZ)</dc:creator>
  <cp:keywords/>
  <dc:description/>
  <cp:lastModifiedBy>Ksenija Vorberger (ODRAZ)</cp:lastModifiedBy>
  <cp:revision>5</cp:revision>
  <dcterms:created xsi:type="dcterms:W3CDTF">2025-12-10T15:01:00Z</dcterms:created>
  <dcterms:modified xsi:type="dcterms:W3CDTF">2025-12-10T15:14:00Z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64565dee-dcfc-44ea-bd0f-203ec4c9f16b</vt:lpwstr>
  </property>
  <property fmtid="{D5CDD505-2E9C-101B-9397-08002B2CF9AE}" pid="3" name="ContentTypeId">
    <vt:lpwstr>0x0101002421015B64204947A7E7911DEAA7AE7B</vt:lpwstr>
  </property>
</Properties>
</file>